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BF4B6" w14:textId="77777777" w:rsidR="00024810" w:rsidRDefault="00024810" w:rsidP="00371C2E">
      <w:pPr>
        <w:autoSpaceDE w:val="0"/>
        <w:autoSpaceDN w:val="0"/>
        <w:adjustRightInd w:val="0"/>
        <w:spacing w:after="0" w:line="240" w:lineRule="auto"/>
        <w:rPr>
          <w:rFonts w:cs="Calibri"/>
          <w:b/>
          <w:bCs/>
        </w:rPr>
      </w:pPr>
      <w:bookmarkStart w:id="0" w:name="_Hlk92891668"/>
    </w:p>
    <w:p w14:paraId="50EA3E43" w14:textId="77777777" w:rsidR="007C05E5" w:rsidRDefault="007C05E5" w:rsidP="007C05E5">
      <w:pPr>
        <w:pStyle w:val="ListParagraph"/>
        <w:rPr>
          <w:rFonts w:ascii="Times New Roman" w:hAnsi="Times New Roman" w:cs="Times New Roman"/>
          <w:color w:val="000000"/>
        </w:rPr>
      </w:pPr>
    </w:p>
    <w:p w14:paraId="1CC463C5" w14:textId="77777777" w:rsidR="00D11D36" w:rsidRPr="00493201" w:rsidRDefault="00D11D36" w:rsidP="00D11D36">
      <w:pPr>
        <w:autoSpaceDE w:val="0"/>
        <w:autoSpaceDN w:val="0"/>
        <w:adjustRightInd w:val="0"/>
        <w:spacing w:after="0" w:line="240" w:lineRule="auto"/>
        <w:jc w:val="center"/>
        <w:rPr>
          <w:rFonts w:ascii="Calibri" w:hAnsi="Calibri" w:cs="Calibri"/>
          <w:b/>
          <w:bCs/>
          <w:color w:val="000000"/>
          <w:sz w:val="28"/>
          <w:szCs w:val="28"/>
          <w:u w:val="single"/>
        </w:rPr>
      </w:pPr>
      <w:r w:rsidRPr="00493201">
        <w:rPr>
          <w:rFonts w:ascii="Calibri" w:hAnsi="Calibri" w:cs="Calibri"/>
          <w:b/>
          <w:bCs/>
          <w:color w:val="000000"/>
          <w:sz w:val="28"/>
          <w:szCs w:val="28"/>
          <w:u w:val="single"/>
        </w:rPr>
        <w:t>SCOPE OF WORK</w:t>
      </w:r>
    </w:p>
    <w:p w14:paraId="35342DF2"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r w:rsidRPr="00BC027D">
        <w:rPr>
          <w:rFonts w:ascii="Calibri" w:hAnsi="Calibri" w:cs="Calibri"/>
          <w:b/>
          <w:bCs/>
          <w:color w:val="EE0000"/>
          <w:sz w:val="28"/>
          <w:szCs w:val="28"/>
        </w:rPr>
        <w:t>BMC</w:t>
      </w:r>
      <w:r w:rsidRPr="00D61F3C">
        <w:rPr>
          <w:rFonts w:ascii="Calibri" w:hAnsi="Calibri" w:cs="Calibri"/>
          <w:color w:val="000000"/>
          <w:sz w:val="28"/>
          <w:szCs w:val="28"/>
        </w:rPr>
        <w:t xml:space="preserve"> Of Diesel Articulated Boom Lift Model: </w:t>
      </w:r>
      <w:r w:rsidRPr="00D61F3C">
        <w:rPr>
          <w:rFonts w:ascii="Calibri" w:hAnsi="Calibri" w:cs="Calibri"/>
          <w:b/>
          <w:bCs/>
          <w:color w:val="FF0000"/>
          <w:sz w:val="28"/>
          <w:szCs w:val="28"/>
        </w:rPr>
        <w:t>GTZZ30Z</w:t>
      </w:r>
      <w:r w:rsidRPr="00D61F3C">
        <w:rPr>
          <w:rFonts w:ascii="Calibri" w:hAnsi="Calibri" w:cs="Calibri"/>
          <w:color w:val="FF0000"/>
          <w:sz w:val="28"/>
          <w:szCs w:val="28"/>
        </w:rPr>
        <w:t xml:space="preserve"> </w:t>
      </w:r>
      <w:r w:rsidRPr="00D61F3C">
        <w:rPr>
          <w:rFonts w:ascii="Calibri" w:hAnsi="Calibri" w:cs="Calibri"/>
          <w:color w:val="000000"/>
          <w:sz w:val="28"/>
          <w:szCs w:val="28"/>
        </w:rPr>
        <w:t xml:space="preserve">Make Mtandt </w:t>
      </w:r>
    </w:p>
    <w:p w14:paraId="2DD36B4A"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In Switchyard At Ntpc Bongaigaon, Salakati, Kokrajhar Assam Pin 783369</w:t>
      </w:r>
    </w:p>
    <w:p w14:paraId="22C7CF93"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p>
    <w:p w14:paraId="6672FE23"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BOQ WISE SCOPE OF WORK</w:t>
      </w:r>
    </w:p>
    <w:p w14:paraId="648C6658" w14:textId="77777777" w:rsidR="00D11D36" w:rsidRPr="004D1326" w:rsidRDefault="00D11D36" w:rsidP="00D11D36">
      <w:pPr>
        <w:autoSpaceDE w:val="0"/>
        <w:autoSpaceDN w:val="0"/>
        <w:adjustRightInd w:val="0"/>
        <w:spacing w:after="0" w:line="240" w:lineRule="auto"/>
        <w:rPr>
          <w:rFonts w:ascii="Calibri" w:hAnsi="Calibri" w:cs="Calibri"/>
          <w:b/>
          <w:bCs/>
          <w:color w:val="000000"/>
          <w:sz w:val="28"/>
          <w:szCs w:val="28"/>
        </w:rPr>
      </w:pPr>
      <w:r w:rsidRPr="004D1326">
        <w:rPr>
          <w:rFonts w:ascii="Calibri" w:hAnsi="Calibri" w:cs="Calibri"/>
          <w:b/>
          <w:bCs/>
          <w:color w:val="000000"/>
          <w:sz w:val="28"/>
          <w:szCs w:val="28"/>
        </w:rPr>
        <w:t>BOQ 10.10: ELHOP00OH000: HY OPTD PLTFORM (&lt;&gt;) Serv</w:t>
      </w:r>
    </w:p>
    <w:p w14:paraId="793F31CE"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p>
    <w:p w14:paraId="0866A500"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 xml:space="preserve">This BOQ is for Scheduled PM visit &amp; On Call visit to attend breakdown of the OEM/OES service Engineer. </w:t>
      </w:r>
    </w:p>
    <w:p w14:paraId="64D49989"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For PM Visit Following Works to done</w:t>
      </w:r>
    </w:p>
    <w:p w14:paraId="4B1300E0"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Complete machine check (structural and alignments etc.)</w:t>
      </w:r>
    </w:p>
    <w:p w14:paraId="33155EA1"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Complete electrical check</w:t>
      </w:r>
    </w:p>
    <w:p w14:paraId="55DC0461"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Complete hydraulics check</w:t>
      </w:r>
    </w:p>
    <w:p w14:paraId="74A0D86C"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Checking of platform controls, lift and lowering speeds, platform behaviour during up/down</w:t>
      </w:r>
    </w:p>
    <w:p w14:paraId="599BA99C"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Checking of boom movements, extend/retract functions</w:t>
      </w:r>
    </w:p>
    <w:p w14:paraId="43C6A19C"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Checking of tires and related rotary components</w:t>
      </w:r>
    </w:p>
    <w:p w14:paraId="3632B2A4"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Checking of electronic interlocks</w:t>
      </w:r>
    </w:p>
    <w:p w14:paraId="51FC16AB"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Checking of motor performance</w:t>
      </w:r>
    </w:p>
    <w:p w14:paraId="4EFE76D6"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Checking of battery condition, battery indicator</w:t>
      </w:r>
    </w:p>
    <w:p w14:paraId="1321CBFB"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Checking of all safety devices including auxiliary lowering system, tilt alarms, interlock with main control panel</w:t>
      </w:r>
    </w:p>
    <w:p w14:paraId="129B26AA"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 for any hydraulic oil and any other consumables needing replacement</w:t>
      </w:r>
    </w:p>
    <w:p w14:paraId="6527105D"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Check for all degrees of freedom, including boom movements, platform rotation, and turntable rotation</w:t>
      </w:r>
    </w:p>
    <w:p w14:paraId="26AB9A00"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Any other checks as felt required by our service technician will be done as per his judgment during visit</w:t>
      </w:r>
    </w:p>
    <w:p w14:paraId="203FC027"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Remedial work / jobs/ resets/ oil changes as felt necessary</w:t>
      </w:r>
    </w:p>
    <w:p w14:paraId="48BB5CF4"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sz w:val="28"/>
          <w:szCs w:val="28"/>
          <w:lang w:bidi="ar-SA"/>
        </w:rPr>
      </w:pPr>
      <w:r w:rsidRPr="00D61F3C">
        <w:rPr>
          <w:rFonts w:ascii="Calibri" w:hAnsi="Calibri" w:cs="Calibri"/>
          <w:sz w:val="28"/>
          <w:szCs w:val="28"/>
          <w:lang w:bidi="ar-SA"/>
        </w:rPr>
        <w:t>Spares to be changed other than consumables</w:t>
      </w:r>
    </w:p>
    <w:p w14:paraId="56E9CCBD" w14:textId="77777777" w:rsidR="00D11D36" w:rsidRPr="00D61F3C" w:rsidRDefault="00D11D36" w:rsidP="00D11D36">
      <w:pPr>
        <w:pStyle w:val="ListParagraph"/>
        <w:numPr>
          <w:ilvl w:val="0"/>
          <w:numId w:val="10"/>
        </w:num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sz w:val="28"/>
          <w:szCs w:val="28"/>
          <w:lang w:bidi="ar-SA"/>
        </w:rPr>
        <w:t>Any spares, oil and any consumables to be charged will be at extra cost and we will be providing a quote for the same after the first check / inspection.</w:t>
      </w:r>
    </w:p>
    <w:p w14:paraId="62604F2B"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p>
    <w:p w14:paraId="23C9FCAA"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Unit of Measurement</w:t>
      </w:r>
    </w:p>
    <w:p w14:paraId="16EEC9A5"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For PM Visit</w:t>
      </w:r>
    </w:p>
    <w:p w14:paraId="61BA8825"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 xml:space="preserve">One Boq item shall be considered as one visit &amp; The shall covers all the above mentioned works (Few works may not be necessary can be spared in </w:t>
      </w:r>
      <w:r w:rsidRPr="00D61F3C">
        <w:rPr>
          <w:rFonts w:ascii="Calibri" w:hAnsi="Calibri" w:cs="Calibri"/>
          <w:color w:val="000000"/>
          <w:sz w:val="28"/>
          <w:szCs w:val="28"/>
        </w:rPr>
        <w:lastRenderedPageBreak/>
        <w:t>consultation with EIC. NTPC is not liable for paying for Extra days for above PM Works if all consumables &amp; spares are available at site.</w:t>
      </w:r>
    </w:p>
    <w:p w14:paraId="4C05DF0A"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p>
    <w:p w14:paraId="184A562E"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For breakdown visit or for attending problems during PM Visit</w:t>
      </w:r>
    </w:p>
    <w:p w14:paraId="76D8EA7D"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rPr>
      </w:pPr>
      <w:r w:rsidRPr="00D61F3C">
        <w:rPr>
          <w:rFonts w:ascii="Calibri" w:hAnsi="Calibri" w:cs="Calibri"/>
          <w:color w:val="000000"/>
          <w:sz w:val="28"/>
          <w:szCs w:val="28"/>
        </w:rPr>
        <w:t>One Boq item shall be considered as fist day of breakdown Visit.</w:t>
      </w:r>
    </w:p>
    <w:p w14:paraId="7AA8BE0F"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36904102"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571AB16F" w14:textId="77777777" w:rsidR="00D11D36" w:rsidRPr="00DC29CF" w:rsidRDefault="00D11D36" w:rsidP="00D11D36">
      <w:pPr>
        <w:autoSpaceDE w:val="0"/>
        <w:autoSpaceDN w:val="0"/>
        <w:adjustRightInd w:val="0"/>
        <w:spacing w:after="0" w:line="240" w:lineRule="auto"/>
        <w:rPr>
          <w:rFonts w:ascii="Calibri" w:hAnsi="Calibri" w:cs="Calibri"/>
          <w:b/>
          <w:bCs/>
          <w:color w:val="000000"/>
          <w:sz w:val="28"/>
          <w:szCs w:val="28"/>
        </w:rPr>
      </w:pPr>
      <w:r w:rsidRPr="00DC29CF">
        <w:rPr>
          <w:rFonts w:ascii="Calibri" w:hAnsi="Calibri" w:cs="Calibri"/>
          <w:b/>
          <w:bCs/>
          <w:color w:val="000000"/>
          <w:sz w:val="28"/>
          <w:szCs w:val="28"/>
        </w:rPr>
        <w:t xml:space="preserve">BOQ 10.20 ELHOP00BD001  </w:t>
      </w:r>
    </w:p>
    <w:p w14:paraId="3615C2A5" w14:textId="77777777" w:rsidR="00D11D36" w:rsidRPr="00DC29CF" w:rsidRDefault="00D11D36" w:rsidP="00D11D36">
      <w:pPr>
        <w:autoSpaceDE w:val="0"/>
        <w:autoSpaceDN w:val="0"/>
        <w:adjustRightInd w:val="0"/>
        <w:spacing w:after="0" w:line="240" w:lineRule="auto"/>
        <w:rPr>
          <w:rFonts w:ascii="Calibri" w:hAnsi="Calibri" w:cs="Calibri"/>
          <w:b/>
          <w:bCs/>
          <w:color w:val="000000"/>
          <w:sz w:val="28"/>
          <w:szCs w:val="28"/>
        </w:rPr>
      </w:pPr>
      <w:r w:rsidRPr="00DC29CF">
        <w:rPr>
          <w:rFonts w:ascii="Calibri" w:hAnsi="Calibri" w:cs="Calibri"/>
          <w:b/>
          <w:bCs/>
          <w:color w:val="000000"/>
          <w:sz w:val="28"/>
          <w:szCs w:val="28"/>
        </w:rPr>
        <w:t>HY OPTD PLTFORM (&lt;&gt;) ATTEND BREAKDOWN</w:t>
      </w:r>
    </w:p>
    <w:p w14:paraId="7BD90D2D" w14:textId="77777777" w:rsidR="00D11D36" w:rsidRPr="00DC29CF" w:rsidRDefault="00D11D36" w:rsidP="00D11D36">
      <w:pPr>
        <w:autoSpaceDE w:val="0"/>
        <w:autoSpaceDN w:val="0"/>
        <w:adjustRightInd w:val="0"/>
        <w:spacing w:after="0" w:line="240" w:lineRule="auto"/>
        <w:rPr>
          <w:rFonts w:ascii="Calibri" w:hAnsi="Calibri" w:cs="Calibri"/>
          <w:color w:val="000000"/>
          <w:sz w:val="28"/>
          <w:szCs w:val="28"/>
        </w:rPr>
      </w:pPr>
      <w:r w:rsidRPr="00DC29CF">
        <w:rPr>
          <w:rFonts w:ascii="Calibri" w:hAnsi="Calibri" w:cs="Calibri"/>
          <w:color w:val="000000"/>
          <w:sz w:val="28"/>
          <w:szCs w:val="28"/>
        </w:rPr>
        <w:t>The scope includes Extra mandays required for attending defects. Vendor shall take concurrence of EIC for extra mandays.</w:t>
      </w:r>
    </w:p>
    <w:p w14:paraId="50DB845D" w14:textId="77777777" w:rsidR="00D11D36" w:rsidRPr="00DC29CF" w:rsidRDefault="00D11D36" w:rsidP="00D11D36">
      <w:pPr>
        <w:autoSpaceDE w:val="0"/>
        <w:autoSpaceDN w:val="0"/>
        <w:adjustRightInd w:val="0"/>
        <w:spacing w:after="0" w:line="240" w:lineRule="auto"/>
        <w:rPr>
          <w:rFonts w:ascii="Calibri" w:hAnsi="Calibri" w:cs="Calibri"/>
          <w:color w:val="000000"/>
          <w:sz w:val="28"/>
          <w:szCs w:val="28"/>
        </w:rPr>
      </w:pPr>
    </w:p>
    <w:p w14:paraId="1071B7EF" w14:textId="77777777" w:rsidR="00D11D36" w:rsidRPr="00DC29CF" w:rsidRDefault="00D11D36" w:rsidP="00D11D36">
      <w:pPr>
        <w:autoSpaceDE w:val="0"/>
        <w:autoSpaceDN w:val="0"/>
        <w:adjustRightInd w:val="0"/>
        <w:spacing w:after="0" w:line="240" w:lineRule="auto"/>
        <w:rPr>
          <w:rFonts w:ascii="Calibri" w:hAnsi="Calibri" w:cs="Calibri"/>
          <w:color w:val="000000"/>
          <w:sz w:val="28"/>
          <w:szCs w:val="28"/>
        </w:rPr>
      </w:pPr>
      <w:r w:rsidRPr="00DC29CF">
        <w:rPr>
          <w:rFonts w:ascii="Calibri" w:hAnsi="Calibri" w:cs="Calibri"/>
          <w:color w:val="000000"/>
          <w:sz w:val="28"/>
          <w:szCs w:val="28"/>
        </w:rPr>
        <w:t>Unit of Measurement</w:t>
      </w:r>
    </w:p>
    <w:p w14:paraId="75A9FE9F" w14:textId="77777777" w:rsidR="00D11D36" w:rsidRPr="00DC29CF" w:rsidRDefault="00D11D36" w:rsidP="00D11D36">
      <w:pPr>
        <w:autoSpaceDE w:val="0"/>
        <w:autoSpaceDN w:val="0"/>
        <w:adjustRightInd w:val="0"/>
        <w:spacing w:after="0" w:line="240" w:lineRule="auto"/>
        <w:rPr>
          <w:rFonts w:ascii="Calibri" w:hAnsi="Calibri" w:cs="Calibri"/>
          <w:color w:val="000000"/>
          <w:sz w:val="28"/>
          <w:szCs w:val="28"/>
        </w:rPr>
      </w:pPr>
      <w:r w:rsidRPr="00DC29CF">
        <w:rPr>
          <w:rFonts w:ascii="Calibri" w:hAnsi="Calibri" w:cs="Calibri"/>
          <w:color w:val="000000"/>
          <w:sz w:val="28"/>
          <w:szCs w:val="28"/>
        </w:rPr>
        <w:t>One BOQ is equal to one man days.( Least count is 1 man days)</w:t>
      </w:r>
    </w:p>
    <w:p w14:paraId="159A1FD0"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45D162B4" w14:textId="77777777" w:rsidR="006A531D" w:rsidRDefault="00D11D36" w:rsidP="00D11D36">
      <w:pPr>
        <w:autoSpaceDE w:val="0"/>
        <w:autoSpaceDN w:val="0"/>
        <w:adjustRightInd w:val="0"/>
        <w:spacing w:after="0" w:line="240" w:lineRule="auto"/>
        <w:rPr>
          <w:rFonts w:ascii="Calibri" w:hAnsi="Calibri" w:cs="Calibri"/>
          <w:b/>
          <w:bCs/>
          <w:color w:val="000000"/>
          <w:sz w:val="28"/>
          <w:szCs w:val="28"/>
        </w:rPr>
      </w:pPr>
      <w:r w:rsidRPr="00BF2BBD">
        <w:rPr>
          <w:rFonts w:ascii="Calibri" w:hAnsi="Calibri" w:cs="Calibri"/>
          <w:b/>
          <w:bCs/>
          <w:color w:val="000000"/>
          <w:sz w:val="28"/>
          <w:szCs w:val="28"/>
        </w:rPr>
        <w:t>MAT SUP</w:t>
      </w:r>
      <w:r w:rsidR="006A531D">
        <w:rPr>
          <w:rFonts w:ascii="Calibri" w:hAnsi="Calibri" w:cs="Calibri"/>
          <w:b/>
          <w:bCs/>
          <w:color w:val="000000"/>
          <w:sz w:val="28"/>
          <w:szCs w:val="28"/>
        </w:rPr>
        <w:t>PLY</w:t>
      </w:r>
    </w:p>
    <w:p w14:paraId="6FF96C07" w14:textId="77777777" w:rsidR="00B95EA7" w:rsidRDefault="006A531D" w:rsidP="00D11D36">
      <w:pPr>
        <w:autoSpaceDE w:val="0"/>
        <w:autoSpaceDN w:val="0"/>
        <w:adjustRightInd w:val="0"/>
        <w:spacing w:after="0" w:line="240" w:lineRule="auto"/>
        <w:rPr>
          <w:rFonts w:ascii="Calibri" w:hAnsi="Calibri" w:cs="Calibri"/>
          <w:b/>
          <w:bCs/>
          <w:color w:val="000000"/>
          <w:sz w:val="28"/>
          <w:szCs w:val="28"/>
        </w:rPr>
      </w:pPr>
      <w:r>
        <w:rPr>
          <w:rFonts w:ascii="Calibri" w:hAnsi="Calibri" w:cs="Calibri"/>
          <w:b/>
          <w:bCs/>
          <w:color w:val="000000"/>
          <w:sz w:val="28"/>
          <w:szCs w:val="28"/>
        </w:rPr>
        <w:t xml:space="preserve">Party has to submit spares list with price along with the bid </w:t>
      </w:r>
    </w:p>
    <w:p w14:paraId="5C531828" w14:textId="2F306C74" w:rsidR="00B25065" w:rsidRDefault="00B95EA7" w:rsidP="00D11D36">
      <w:pPr>
        <w:autoSpaceDE w:val="0"/>
        <w:autoSpaceDN w:val="0"/>
        <w:adjustRightInd w:val="0"/>
        <w:spacing w:after="0" w:line="240" w:lineRule="auto"/>
        <w:rPr>
          <w:rFonts w:ascii="Calibri" w:hAnsi="Calibri" w:cs="Calibri"/>
          <w:b/>
          <w:bCs/>
          <w:color w:val="000000"/>
          <w:sz w:val="28"/>
          <w:szCs w:val="28"/>
        </w:rPr>
      </w:pPr>
      <w:r>
        <w:rPr>
          <w:rFonts w:ascii="Calibri" w:hAnsi="Calibri" w:cs="Calibri"/>
          <w:b/>
          <w:bCs/>
          <w:color w:val="000000"/>
          <w:sz w:val="28"/>
          <w:szCs w:val="28"/>
        </w:rPr>
        <w:t>Spares price will be firm for the contract period</w:t>
      </w:r>
      <w:r w:rsidR="00B25065">
        <w:rPr>
          <w:rFonts w:ascii="Calibri" w:hAnsi="Calibri" w:cs="Calibri"/>
          <w:b/>
          <w:bCs/>
          <w:color w:val="000000"/>
          <w:sz w:val="28"/>
          <w:szCs w:val="28"/>
        </w:rPr>
        <w:t xml:space="preserve">.Spares price will be reimbursed as per actuals </w:t>
      </w:r>
      <w:r>
        <w:rPr>
          <w:rFonts w:ascii="Calibri" w:hAnsi="Calibri" w:cs="Calibri"/>
          <w:b/>
          <w:bCs/>
          <w:color w:val="000000"/>
          <w:sz w:val="28"/>
          <w:szCs w:val="28"/>
        </w:rPr>
        <w:t xml:space="preserve"> </w:t>
      </w:r>
    </w:p>
    <w:p w14:paraId="2E43D156" w14:textId="1378BFC0"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 xml:space="preserve">spares list </w:t>
      </w:r>
      <w:r w:rsidR="009960ED">
        <w:rPr>
          <w:rFonts w:ascii="Calibri" w:hAnsi="Calibri" w:cs="Calibri"/>
          <w:color w:val="000000"/>
          <w:sz w:val="28"/>
          <w:szCs w:val="28"/>
        </w:rPr>
        <w:t>mentioned in Annexure-1</w:t>
      </w:r>
    </w:p>
    <w:p w14:paraId="7AC29CBE"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p>
    <w:p w14:paraId="17041053"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A. Since the Nature of Defect arising during the contract period and frequency of number of spares required is unknown, NTPC will not maintain inventory of the same. Party will have to arrange and make available the same as per actual requirement.</w:t>
      </w:r>
    </w:p>
    <w:p w14:paraId="11F2F7D4"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B. Replacement of spares (if any) should be done in consultation with EIC/ his</w:t>
      </w:r>
    </w:p>
    <w:p w14:paraId="311A31EB"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representative.</w:t>
      </w:r>
    </w:p>
    <w:p w14:paraId="10A6511A" w14:textId="2574111F"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C. Payment for Material Supplied will be made against the invoice of the material</w:t>
      </w:r>
      <w:r w:rsidR="00D4731D">
        <w:rPr>
          <w:rFonts w:ascii="Calibri" w:hAnsi="Calibri" w:cs="Calibri"/>
          <w:color w:val="000000"/>
          <w:sz w:val="28"/>
          <w:szCs w:val="28"/>
        </w:rPr>
        <w:t xml:space="preserve"> </w:t>
      </w:r>
      <w:r w:rsidRPr="00657834">
        <w:rPr>
          <w:rFonts w:ascii="Calibri" w:hAnsi="Calibri" w:cs="Calibri"/>
          <w:color w:val="000000"/>
          <w:sz w:val="28"/>
          <w:szCs w:val="28"/>
        </w:rPr>
        <w:t>received at the site. The gate entry of materials is essentially required. Service engineer will install the supplied Spares( assistance will be provided by Ms NTPC Ltd.</w:t>
      </w:r>
    </w:p>
    <w:p w14:paraId="578218CD"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In case of any damage to the machine caused due to workmanship while attending breakdown will be attended by M/s MTandT without any extra cost to NTPC Ltd.</w:t>
      </w:r>
    </w:p>
    <w:p w14:paraId="34FE5FD1"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In case of any Damage to the spare while repairing/installing, M/s MTandT will provide replacement free of cost.</w:t>
      </w:r>
    </w:p>
    <w:p w14:paraId="1DAEAB9F"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p>
    <w:p w14:paraId="50FAAC4E"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D. Agency has to submit Fitment Guarantee(OEM/OES) and Interchangeability</w:t>
      </w:r>
    </w:p>
    <w:p w14:paraId="3BB1195B"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t>Certificate for the supplied spares.</w:t>
      </w:r>
    </w:p>
    <w:p w14:paraId="14269CEA"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r w:rsidRPr="00657834">
        <w:rPr>
          <w:rFonts w:ascii="Calibri" w:hAnsi="Calibri" w:cs="Calibri"/>
          <w:color w:val="000000"/>
          <w:sz w:val="28"/>
          <w:szCs w:val="28"/>
        </w:rPr>
        <w:lastRenderedPageBreak/>
        <w:t>E. Road Permit/E-Way Bill for the supply of spares will be given by NTPC, if required.</w:t>
      </w:r>
    </w:p>
    <w:p w14:paraId="285E8338"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p>
    <w:p w14:paraId="4A4DD2E6"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26A0A0B7"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7B425A2E"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3B8A7E6A"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4B206AF8"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35B48A5B"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6A2C8BDD" w14:textId="77777777" w:rsidR="00D11D36" w:rsidRPr="002A7737" w:rsidRDefault="00D11D36" w:rsidP="00D11D36">
      <w:pPr>
        <w:autoSpaceDE w:val="0"/>
        <w:autoSpaceDN w:val="0"/>
        <w:adjustRightInd w:val="0"/>
        <w:spacing w:after="0" w:line="240" w:lineRule="auto"/>
        <w:rPr>
          <w:rFonts w:ascii="Calibri" w:hAnsi="Calibri" w:cs="Calibri"/>
          <w:b/>
          <w:bCs/>
          <w:color w:val="000000"/>
          <w:sz w:val="28"/>
          <w:szCs w:val="28"/>
          <w:lang w:bidi="ar-SA"/>
        </w:rPr>
      </w:pPr>
      <w:r w:rsidRPr="002A7737">
        <w:rPr>
          <w:rFonts w:ascii="Calibri" w:hAnsi="Calibri" w:cs="Calibri"/>
          <w:b/>
          <w:bCs/>
          <w:color w:val="000000"/>
          <w:sz w:val="28"/>
          <w:szCs w:val="28"/>
          <w:lang w:bidi="ar-SA"/>
        </w:rPr>
        <w:t xml:space="preserve">Special Terms And Conditions </w:t>
      </w:r>
    </w:p>
    <w:p w14:paraId="49FE9013"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Annual Maintenance Contract for NTPC Bongaigaon Aerial Access Platform</w:t>
      </w:r>
    </w:p>
    <w:p w14:paraId="45EA0D3B" w14:textId="77777777" w:rsidR="00D11D36" w:rsidRPr="00D61F3C" w:rsidRDefault="00D11D36" w:rsidP="00D11D36">
      <w:pPr>
        <w:autoSpaceDE w:val="0"/>
        <w:autoSpaceDN w:val="0"/>
        <w:adjustRightInd w:val="0"/>
        <w:spacing w:after="0" w:line="240" w:lineRule="auto"/>
        <w:rPr>
          <w:rFonts w:ascii="Calibri" w:hAnsi="Calibri" w:cs="Calibri"/>
          <w:color w:val="000000"/>
          <w:sz w:val="28"/>
          <w:szCs w:val="28"/>
          <w:lang w:bidi="ar-SA"/>
        </w:rPr>
      </w:pPr>
    </w:p>
    <w:p w14:paraId="3F0A7297"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PERIOD OF CONTRACT</w:t>
      </w:r>
      <w:r w:rsidRPr="00B622A7">
        <w:rPr>
          <w:rFonts w:ascii="Calibri" w:hAnsi="Calibri" w:cs="Calibri"/>
          <w:sz w:val="28"/>
          <w:szCs w:val="28"/>
          <w:lang w:bidi="ar-SA"/>
        </w:rPr>
        <w:t xml:space="preserve">: </w:t>
      </w:r>
      <w:r w:rsidRPr="00B622A7">
        <w:rPr>
          <w:rFonts w:ascii="Calibri" w:hAnsi="Calibri" w:cs="Calibri"/>
          <w:b/>
          <w:bCs/>
          <w:sz w:val="28"/>
          <w:szCs w:val="28"/>
          <w:lang w:bidi="ar-SA"/>
        </w:rPr>
        <w:t>02</w:t>
      </w:r>
      <w:r w:rsidRPr="00B622A7">
        <w:rPr>
          <w:rFonts w:ascii="Calibri" w:hAnsi="Calibri" w:cs="Calibri"/>
          <w:sz w:val="28"/>
          <w:szCs w:val="28"/>
          <w:lang w:bidi="ar-SA"/>
        </w:rPr>
        <w:t xml:space="preserve"> (</w:t>
      </w:r>
      <w:r w:rsidRPr="00B622A7">
        <w:rPr>
          <w:rFonts w:ascii="Calibri" w:hAnsi="Calibri" w:cs="Calibri"/>
          <w:b/>
          <w:bCs/>
          <w:sz w:val="28"/>
          <w:szCs w:val="28"/>
          <w:lang w:bidi="ar-SA"/>
        </w:rPr>
        <w:t>Two</w:t>
      </w:r>
      <w:r w:rsidRPr="00B622A7">
        <w:rPr>
          <w:rFonts w:ascii="Calibri" w:hAnsi="Calibri" w:cs="Calibri"/>
          <w:sz w:val="28"/>
          <w:szCs w:val="28"/>
          <w:lang w:bidi="ar-SA"/>
        </w:rPr>
        <w:t xml:space="preserve"> Year</w:t>
      </w:r>
      <w:r w:rsidRPr="00D61F3C">
        <w:rPr>
          <w:rFonts w:ascii="Calibri" w:hAnsi="Calibri" w:cs="Calibri"/>
          <w:color w:val="000000"/>
          <w:sz w:val="28"/>
          <w:szCs w:val="28"/>
          <w:lang w:bidi="ar-SA"/>
        </w:rPr>
        <w:t>)</w:t>
      </w:r>
    </w:p>
    <w:p w14:paraId="0EDAE2C0"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Gate Pass / Entry Pass: To be arranged by you (if required). If the Pass is not arranged and our Service Engineer reports, then it will be reckoned as a Man Day.</w:t>
      </w:r>
    </w:p>
    <w:p w14:paraId="7E3995B2"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Normal working day will be considered between 9 AM &amp; 7 PM.</w:t>
      </w:r>
    </w:p>
    <w:p w14:paraId="0230C57A"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NTPC will provide unskilled labour, if required during course of maintenance or repairs.</w:t>
      </w:r>
    </w:p>
    <w:p w14:paraId="24149DE2"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The Service Engineer shall visit the site as per site requirement to check the complete unit along with its associated system (Hydraulic unit, Pump, piping’s, control panel etc.) for its healthiness. After each visit, agency has to check all interlock &amp; protections of system for its healthiness and accordingly rectify it if any problem found.</w:t>
      </w:r>
    </w:p>
    <w:p w14:paraId="45F9A24C"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After successful servicing service engineer will have to prepare and submit a detailed service report on the healthiness of the system and give suggestion for maintenance, good practices for operation etc.</w:t>
      </w:r>
    </w:p>
    <w:p w14:paraId="14D41B1F"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Additional Unskilled manpower to assist the Service Engineer will be provided by NTPC free of cost.</w:t>
      </w:r>
    </w:p>
    <w:p w14:paraId="2821421D"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All general Tools, Tackles &amp; consumables will be provided by NTPC, however any Special Tools if required is to be arranged by agency.</w:t>
      </w:r>
    </w:p>
    <w:p w14:paraId="1EF221D0"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Payment will be made on per visit basis upon submission of Service Report, invoice along with relevant documents after job completion. Taxes any will be paid by NTPC as per rates applicable.</w:t>
      </w:r>
    </w:p>
    <w:p w14:paraId="4A07E2C8"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The journey, lodging charges of service engineer will be in scope of agency. The site visiting time shall not include the travelling time of the Service Engineer and it shall be counted from the time when he reaches the site until he leaves the site. Local Transportation from &amp; to Kokrajhar or NTPC Guest will be provided by NTPC Ltd.</w:t>
      </w:r>
    </w:p>
    <w:p w14:paraId="2B93F1AB"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lastRenderedPageBreak/>
        <w:t>M/s Mtandt service engineer shall reach site within one week for attending the breakdown of Machine, after getting information by NTPC.</w:t>
      </w:r>
    </w:p>
    <w:p w14:paraId="65AAECE2"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After completion of each visit, the service engineer shall submit the service report indicating the activities done, material replaced and any further recommendations.</w:t>
      </w:r>
    </w:p>
    <w:p w14:paraId="694E8A0B" w14:textId="77777777" w:rsidR="00D11D36" w:rsidRPr="00D61F3C"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The agency has to give list of spares required for maintenance as per price list finalized during award of purchase order.</w:t>
      </w:r>
    </w:p>
    <w:p w14:paraId="0512B013" w14:textId="3713568D" w:rsidR="00D11D36" w:rsidRPr="008058D5" w:rsidRDefault="00D11D36" w:rsidP="008058D5">
      <w:pPr>
        <w:autoSpaceDE w:val="0"/>
        <w:autoSpaceDN w:val="0"/>
        <w:adjustRightInd w:val="0"/>
        <w:spacing w:after="0" w:line="240" w:lineRule="auto"/>
        <w:ind w:left="360"/>
        <w:rPr>
          <w:rFonts w:ascii="Calibri" w:hAnsi="Calibri" w:cs="Calibri"/>
          <w:color w:val="000000"/>
          <w:sz w:val="28"/>
          <w:szCs w:val="28"/>
          <w:lang w:bidi="ar-SA"/>
        </w:rPr>
      </w:pPr>
    </w:p>
    <w:p w14:paraId="38F987D8" w14:textId="77777777" w:rsidR="00D11D36" w:rsidRDefault="00D11D36" w:rsidP="00D11D36">
      <w:pPr>
        <w:pStyle w:val="ListParagraph"/>
        <w:numPr>
          <w:ilvl w:val="0"/>
          <w:numId w:val="11"/>
        </w:numPr>
        <w:autoSpaceDE w:val="0"/>
        <w:autoSpaceDN w:val="0"/>
        <w:adjustRightInd w:val="0"/>
        <w:spacing w:after="0" w:line="240" w:lineRule="auto"/>
        <w:rPr>
          <w:rFonts w:ascii="Calibri" w:hAnsi="Calibri" w:cs="Calibri"/>
          <w:color w:val="000000"/>
          <w:sz w:val="28"/>
          <w:szCs w:val="28"/>
          <w:lang w:bidi="ar-SA"/>
        </w:rPr>
      </w:pPr>
      <w:r w:rsidRPr="00D61F3C">
        <w:rPr>
          <w:rFonts w:ascii="Calibri" w:hAnsi="Calibri" w:cs="Calibri"/>
          <w:color w:val="000000"/>
          <w:sz w:val="28"/>
          <w:szCs w:val="28"/>
          <w:lang w:bidi="ar-SA"/>
        </w:rPr>
        <w:t>Agency will be solely responsible for safety of their persons. Group insurance/ESI for staff is mandatory. Agency will issue all required safety gadgets for protection of their service engineer. In case of accident it is their responsibility to look after all requirements of their staff.</w:t>
      </w:r>
    </w:p>
    <w:p w14:paraId="64C76084" w14:textId="77777777" w:rsidR="00D11D36" w:rsidRDefault="00D11D36" w:rsidP="00D11D36">
      <w:pPr>
        <w:autoSpaceDE w:val="0"/>
        <w:autoSpaceDN w:val="0"/>
        <w:adjustRightInd w:val="0"/>
        <w:spacing w:after="0" w:line="240" w:lineRule="auto"/>
        <w:rPr>
          <w:rFonts w:ascii="Calibri" w:hAnsi="Calibri" w:cs="Calibri"/>
          <w:color w:val="000000"/>
          <w:sz w:val="28"/>
          <w:szCs w:val="28"/>
        </w:rPr>
      </w:pPr>
    </w:p>
    <w:p w14:paraId="4FCE9858" w14:textId="77777777" w:rsidR="00D11D36" w:rsidRPr="00657834" w:rsidRDefault="00D11D36" w:rsidP="00D11D36">
      <w:pPr>
        <w:autoSpaceDE w:val="0"/>
        <w:autoSpaceDN w:val="0"/>
        <w:adjustRightInd w:val="0"/>
        <w:spacing w:after="0" w:line="240" w:lineRule="auto"/>
        <w:rPr>
          <w:rFonts w:ascii="Calibri" w:hAnsi="Calibri" w:cs="Calibri"/>
          <w:color w:val="000000"/>
          <w:sz w:val="28"/>
          <w:szCs w:val="28"/>
        </w:rPr>
      </w:pPr>
    </w:p>
    <w:p w14:paraId="68F15107" w14:textId="77777777" w:rsidR="001F15E3" w:rsidRPr="006B3E9D" w:rsidRDefault="001F15E3" w:rsidP="001F15E3">
      <w:pPr>
        <w:autoSpaceDE w:val="0"/>
        <w:autoSpaceDN w:val="0"/>
        <w:adjustRightInd w:val="0"/>
        <w:spacing w:after="0" w:line="240" w:lineRule="auto"/>
        <w:rPr>
          <w:rFonts w:cs="Calibri"/>
        </w:rPr>
      </w:pPr>
    </w:p>
    <w:p w14:paraId="7DF6183C" w14:textId="77777777" w:rsidR="001F15E3" w:rsidRPr="006B3E9D" w:rsidRDefault="001F15E3" w:rsidP="001F15E3">
      <w:pPr>
        <w:autoSpaceDE w:val="0"/>
        <w:autoSpaceDN w:val="0"/>
        <w:adjustRightInd w:val="0"/>
        <w:spacing w:after="0" w:line="240" w:lineRule="auto"/>
        <w:rPr>
          <w:rFonts w:cs="Calibri"/>
        </w:rPr>
      </w:pPr>
    </w:p>
    <w:p w14:paraId="31C645BC" w14:textId="77777777" w:rsidR="001F15E3" w:rsidRPr="006B3E9D" w:rsidRDefault="001F15E3" w:rsidP="001F15E3">
      <w:pPr>
        <w:autoSpaceDE w:val="0"/>
        <w:autoSpaceDN w:val="0"/>
        <w:adjustRightInd w:val="0"/>
        <w:spacing w:after="0" w:line="240" w:lineRule="auto"/>
        <w:rPr>
          <w:rFonts w:cs="Calibri"/>
        </w:rPr>
      </w:pPr>
    </w:p>
    <w:tbl>
      <w:tblPr>
        <w:tblStyle w:val="TableGrid"/>
        <w:tblW w:w="0" w:type="auto"/>
        <w:tblLook w:val="04A0" w:firstRow="1" w:lastRow="0" w:firstColumn="1" w:lastColumn="0" w:noHBand="0" w:noVBand="1"/>
      </w:tblPr>
      <w:tblGrid>
        <w:gridCol w:w="562"/>
        <w:gridCol w:w="3544"/>
        <w:gridCol w:w="4678"/>
      </w:tblGrid>
      <w:tr w:rsidR="00020389" w:rsidRPr="006B3E9D" w14:paraId="5757D87B" w14:textId="77777777" w:rsidTr="000019B5">
        <w:tc>
          <w:tcPr>
            <w:tcW w:w="562" w:type="dxa"/>
          </w:tcPr>
          <w:p w14:paraId="67220923" w14:textId="77777777" w:rsidR="00020389" w:rsidRPr="006B3E9D" w:rsidRDefault="00020389" w:rsidP="00020389">
            <w:pPr>
              <w:pStyle w:val="ListParagraph"/>
              <w:numPr>
                <w:ilvl w:val="0"/>
                <w:numId w:val="4"/>
              </w:numPr>
              <w:autoSpaceDE w:val="0"/>
              <w:autoSpaceDN w:val="0"/>
              <w:adjustRightInd w:val="0"/>
              <w:jc w:val="center"/>
              <w:rPr>
                <w:rFonts w:ascii="Segoe UI" w:hAnsi="Segoe UI" w:cs="Segoe UI"/>
                <w:kern w:val="0"/>
                <w:sz w:val="20"/>
              </w:rPr>
            </w:pPr>
          </w:p>
        </w:tc>
        <w:tc>
          <w:tcPr>
            <w:tcW w:w="3544" w:type="dxa"/>
          </w:tcPr>
          <w:p w14:paraId="1FC56BDE"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COMPLETION PERIOD/WORK DURATION/ VALIDITY PERIOD</w:t>
            </w:r>
          </w:p>
        </w:tc>
        <w:tc>
          <w:tcPr>
            <w:tcW w:w="4678" w:type="dxa"/>
          </w:tcPr>
          <w:p w14:paraId="73C7E98E" w14:textId="0054CF87" w:rsidR="00020389" w:rsidRPr="006B3E9D" w:rsidRDefault="008B4B64" w:rsidP="0093081E">
            <w:pPr>
              <w:autoSpaceDE w:val="0"/>
              <w:autoSpaceDN w:val="0"/>
              <w:adjustRightInd w:val="0"/>
              <w:rPr>
                <w:rFonts w:ascii="Segoe UI" w:hAnsi="Segoe UI" w:cs="Segoe UI"/>
                <w:kern w:val="0"/>
                <w:sz w:val="20"/>
              </w:rPr>
            </w:pPr>
            <w:r>
              <w:rPr>
                <w:rFonts w:ascii="Segoe UI" w:hAnsi="Segoe UI" w:cs="Segoe UI"/>
                <w:kern w:val="0"/>
                <w:sz w:val="20"/>
              </w:rPr>
              <w:t>24</w:t>
            </w:r>
            <w:r w:rsidR="000B7A79">
              <w:rPr>
                <w:rFonts w:ascii="Segoe UI" w:hAnsi="Segoe UI" w:cs="Segoe UI"/>
                <w:kern w:val="0"/>
                <w:sz w:val="20"/>
              </w:rPr>
              <w:t xml:space="preserve"> </w:t>
            </w:r>
            <w:r w:rsidR="00020389" w:rsidRPr="006B3E9D">
              <w:rPr>
                <w:rFonts w:ascii="Segoe UI" w:hAnsi="Segoe UI" w:cs="Segoe UI"/>
                <w:kern w:val="0"/>
                <w:sz w:val="20"/>
              </w:rPr>
              <w:t>months</w:t>
            </w:r>
          </w:p>
        </w:tc>
      </w:tr>
      <w:tr w:rsidR="00020389" w:rsidRPr="006B3E9D" w14:paraId="395DE89D" w14:textId="77777777" w:rsidTr="000019B5">
        <w:tc>
          <w:tcPr>
            <w:tcW w:w="562" w:type="dxa"/>
          </w:tcPr>
          <w:p w14:paraId="6018D61A"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33DA811B"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CONTRACT VALIDITY EXTENSION</w:t>
            </w:r>
          </w:p>
        </w:tc>
        <w:tc>
          <w:tcPr>
            <w:tcW w:w="4678" w:type="dxa"/>
          </w:tcPr>
          <w:p w14:paraId="6097C498"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 xml:space="preserve">03 months </w:t>
            </w:r>
          </w:p>
        </w:tc>
      </w:tr>
      <w:tr w:rsidR="00020389" w:rsidRPr="006B3E9D" w14:paraId="0A03DC41" w14:textId="77777777" w:rsidTr="000019B5">
        <w:tc>
          <w:tcPr>
            <w:tcW w:w="562" w:type="dxa"/>
          </w:tcPr>
          <w:p w14:paraId="62B1B05D"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55C7DE1D"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PAYMENT TERMS</w:t>
            </w:r>
          </w:p>
        </w:tc>
        <w:tc>
          <w:tcPr>
            <w:tcW w:w="4678" w:type="dxa"/>
          </w:tcPr>
          <w:p w14:paraId="6FA0E1D0" w14:textId="62EFDA25" w:rsidR="00020389" w:rsidRPr="00152EB2" w:rsidRDefault="000019B5" w:rsidP="00310698">
            <w:pPr>
              <w:pStyle w:val="ListBullet"/>
              <w:numPr>
                <w:ilvl w:val="0"/>
                <w:numId w:val="0"/>
              </w:numPr>
            </w:pPr>
            <w:r w:rsidRPr="000019B5">
              <w:rPr>
                <w:rFonts w:ascii="Calibri" w:hAnsi="Calibri" w:cs="Calibri"/>
                <w:color w:val="000000"/>
                <w:lang w:val="en-IN"/>
              </w:rPr>
              <w:t>Payment will be made on per visit basis upon submission of Service Report, invoice along with relevant documents after job completion. Taxes any will be paid by NTPC as per rates applicable</w:t>
            </w:r>
            <w:r w:rsidRPr="00D61F3C">
              <w:rPr>
                <w:rFonts w:ascii="Calibri" w:hAnsi="Calibri" w:cs="Calibri"/>
                <w:color w:val="000000"/>
                <w:sz w:val="28"/>
                <w:szCs w:val="28"/>
                <w:lang w:val="en-IN"/>
              </w:rPr>
              <w:t>.</w:t>
            </w:r>
          </w:p>
        </w:tc>
      </w:tr>
      <w:tr w:rsidR="00020389" w:rsidRPr="006B3E9D" w14:paraId="2FDCF354" w14:textId="77777777" w:rsidTr="000019B5">
        <w:tc>
          <w:tcPr>
            <w:tcW w:w="562" w:type="dxa"/>
          </w:tcPr>
          <w:p w14:paraId="67BFB417"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406CBD15"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Price basis</w:t>
            </w:r>
          </w:p>
        </w:tc>
        <w:tc>
          <w:tcPr>
            <w:tcW w:w="4678" w:type="dxa"/>
          </w:tcPr>
          <w:p w14:paraId="269EA998"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FIRM</w:t>
            </w:r>
          </w:p>
        </w:tc>
      </w:tr>
      <w:tr w:rsidR="00020389" w:rsidRPr="006B3E9D" w14:paraId="5983F7B2" w14:textId="77777777" w:rsidTr="000019B5">
        <w:tc>
          <w:tcPr>
            <w:tcW w:w="562" w:type="dxa"/>
          </w:tcPr>
          <w:p w14:paraId="4A6F9F74"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3744F8FC"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Deviation Clause</w:t>
            </w:r>
          </w:p>
        </w:tc>
        <w:tc>
          <w:tcPr>
            <w:tcW w:w="4678" w:type="dxa"/>
          </w:tcPr>
          <w:p w14:paraId="6C10BF33"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As per GCC(-100% to +20%)</w:t>
            </w:r>
          </w:p>
        </w:tc>
      </w:tr>
      <w:tr w:rsidR="00020389" w:rsidRPr="006B3E9D" w14:paraId="29F3229B" w14:textId="77777777" w:rsidTr="000019B5">
        <w:tc>
          <w:tcPr>
            <w:tcW w:w="562" w:type="dxa"/>
          </w:tcPr>
          <w:p w14:paraId="36C23E5B"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54DF08F7"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LD clause</w:t>
            </w:r>
          </w:p>
        </w:tc>
        <w:tc>
          <w:tcPr>
            <w:tcW w:w="4678" w:type="dxa"/>
          </w:tcPr>
          <w:p w14:paraId="0B67D8C1" w14:textId="50BA8B21"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 xml:space="preserve">Applicable  as per GCC </w:t>
            </w:r>
          </w:p>
        </w:tc>
      </w:tr>
      <w:tr w:rsidR="00020389" w:rsidRPr="006B3E9D" w14:paraId="6303FD37" w14:textId="77777777" w:rsidTr="000019B5">
        <w:tc>
          <w:tcPr>
            <w:tcW w:w="562" w:type="dxa"/>
          </w:tcPr>
          <w:p w14:paraId="6F835A84"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1D345B5D" w14:textId="77777777" w:rsidR="00020389" w:rsidRPr="0092011E" w:rsidRDefault="00020389" w:rsidP="0093081E">
            <w:pPr>
              <w:autoSpaceDE w:val="0"/>
              <w:autoSpaceDN w:val="0"/>
              <w:adjustRightInd w:val="0"/>
              <w:rPr>
                <w:rFonts w:ascii="Segoe UI" w:hAnsi="Segoe UI" w:cs="Segoe UI"/>
                <w:b/>
                <w:bCs/>
                <w:kern w:val="0"/>
                <w:sz w:val="20"/>
              </w:rPr>
            </w:pPr>
            <w:r w:rsidRPr="0092011E">
              <w:rPr>
                <w:rFonts w:ascii="Segoe UI" w:hAnsi="Segoe UI" w:cs="Segoe UI"/>
                <w:b/>
                <w:bCs/>
                <w:kern w:val="0"/>
                <w:sz w:val="20"/>
              </w:rPr>
              <w:t>SECURITY DEPOSIT/CONTRACT PERFORMANCE GUARANTEE</w:t>
            </w:r>
          </w:p>
        </w:tc>
        <w:tc>
          <w:tcPr>
            <w:tcW w:w="4678" w:type="dxa"/>
          </w:tcPr>
          <w:p w14:paraId="7CA1B75A" w14:textId="1F7850D3"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 xml:space="preserve">Applicable </w:t>
            </w:r>
            <w:r w:rsidRPr="006B3E9D">
              <w:rPr>
                <w:rFonts w:cs="Calibri"/>
                <w:sz w:val="20"/>
              </w:rPr>
              <w:t>as per GCC@5% of contract value</w:t>
            </w:r>
          </w:p>
        </w:tc>
      </w:tr>
      <w:tr w:rsidR="00020389" w:rsidRPr="006B3E9D" w14:paraId="6C439713" w14:textId="77777777" w:rsidTr="000019B5">
        <w:tc>
          <w:tcPr>
            <w:tcW w:w="562" w:type="dxa"/>
          </w:tcPr>
          <w:p w14:paraId="2B161B32"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0A1E1C71"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FORMAL CONTRACT AGREEMENT</w:t>
            </w:r>
          </w:p>
        </w:tc>
        <w:tc>
          <w:tcPr>
            <w:tcW w:w="4678" w:type="dxa"/>
          </w:tcPr>
          <w:p w14:paraId="4035D545" w14:textId="65C16E5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Applicable</w:t>
            </w:r>
          </w:p>
        </w:tc>
      </w:tr>
      <w:tr w:rsidR="00020389" w:rsidRPr="006B3E9D" w14:paraId="5BD61B53" w14:textId="77777777" w:rsidTr="000019B5">
        <w:tc>
          <w:tcPr>
            <w:tcW w:w="562" w:type="dxa"/>
          </w:tcPr>
          <w:p w14:paraId="78079A07"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56ACEE8F" w14:textId="77777777" w:rsidR="00020389" w:rsidRPr="006B3E9D" w:rsidRDefault="00020389" w:rsidP="0093081E">
            <w:pPr>
              <w:autoSpaceDE w:val="0"/>
              <w:autoSpaceDN w:val="0"/>
              <w:adjustRightInd w:val="0"/>
              <w:rPr>
                <w:rFonts w:ascii="Segoe UI" w:hAnsi="Segoe UI" w:cs="Segoe UI"/>
                <w:kern w:val="0"/>
                <w:sz w:val="20"/>
              </w:rPr>
            </w:pPr>
            <w:r w:rsidRPr="006B3E9D">
              <w:rPr>
                <w:rFonts w:ascii="Segoe UI" w:hAnsi="Segoe UI" w:cs="Segoe UI"/>
                <w:kern w:val="0"/>
                <w:sz w:val="20"/>
              </w:rPr>
              <w:t>OWNER ISSUE MATERIAL</w:t>
            </w:r>
          </w:p>
        </w:tc>
        <w:tc>
          <w:tcPr>
            <w:tcW w:w="4678" w:type="dxa"/>
          </w:tcPr>
          <w:p w14:paraId="4348D311" w14:textId="6C21B257" w:rsidR="00020389" w:rsidRPr="006B3E9D" w:rsidRDefault="00310698" w:rsidP="0093081E">
            <w:pPr>
              <w:autoSpaceDE w:val="0"/>
              <w:autoSpaceDN w:val="0"/>
              <w:adjustRightInd w:val="0"/>
              <w:rPr>
                <w:rFonts w:ascii="Segoe UI" w:hAnsi="Segoe UI" w:cs="Segoe UI"/>
                <w:kern w:val="0"/>
                <w:sz w:val="20"/>
              </w:rPr>
            </w:pPr>
            <w:r>
              <w:rPr>
                <w:rFonts w:ascii="Segoe UI" w:hAnsi="Segoe UI" w:cs="Segoe UI"/>
                <w:kern w:val="0"/>
                <w:sz w:val="20"/>
              </w:rPr>
              <w:t xml:space="preserve">As mentioned in Scope of work </w:t>
            </w:r>
          </w:p>
        </w:tc>
      </w:tr>
      <w:tr w:rsidR="00020389" w:rsidRPr="006B3E9D" w14:paraId="7518DCD6" w14:textId="77777777" w:rsidTr="000019B5">
        <w:tc>
          <w:tcPr>
            <w:tcW w:w="562" w:type="dxa"/>
          </w:tcPr>
          <w:p w14:paraId="3FE32B6D" w14:textId="77777777" w:rsidR="00020389" w:rsidRPr="006B3E9D"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0905BA23" w14:textId="77777777" w:rsidR="00020389" w:rsidRPr="0092011E" w:rsidRDefault="00020389" w:rsidP="0093081E">
            <w:pPr>
              <w:autoSpaceDE w:val="0"/>
              <w:autoSpaceDN w:val="0"/>
              <w:adjustRightInd w:val="0"/>
              <w:rPr>
                <w:rFonts w:ascii="Segoe UI" w:hAnsi="Segoe UI" w:cs="Segoe UI"/>
                <w:b/>
                <w:bCs/>
                <w:kern w:val="0"/>
                <w:sz w:val="20"/>
              </w:rPr>
            </w:pPr>
            <w:r w:rsidRPr="0092011E">
              <w:rPr>
                <w:rFonts w:ascii="Segoe UI" w:hAnsi="Segoe UI" w:cs="Segoe UI"/>
                <w:b/>
                <w:bCs/>
                <w:kern w:val="0"/>
                <w:sz w:val="20"/>
              </w:rPr>
              <w:t>DEFECT LIABILITY PERIOD/ WARRANTEE/GUARANTEE</w:t>
            </w:r>
          </w:p>
        </w:tc>
        <w:tc>
          <w:tcPr>
            <w:tcW w:w="4678" w:type="dxa"/>
          </w:tcPr>
          <w:p w14:paraId="2DD23A71" w14:textId="7FDF31D5" w:rsidR="00020389" w:rsidRPr="006B3E9D" w:rsidRDefault="008B4B64" w:rsidP="0042000B">
            <w:pPr>
              <w:autoSpaceDE w:val="0"/>
              <w:autoSpaceDN w:val="0"/>
              <w:adjustRightInd w:val="0"/>
              <w:spacing w:line="240" w:lineRule="auto"/>
              <w:rPr>
                <w:rFonts w:ascii="Segoe UI" w:hAnsi="Segoe UI" w:cs="Segoe UI"/>
                <w:kern w:val="0"/>
                <w:sz w:val="20"/>
              </w:rPr>
            </w:pPr>
            <w:r w:rsidRPr="008B4B64">
              <w:rPr>
                <w:rFonts w:ascii="Segoe UI" w:hAnsi="Segoe UI" w:cs="Segoe UI"/>
                <w:kern w:val="0"/>
                <w:sz w:val="20"/>
                <w:highlight w:val="yellow"/>
              </w:rPr>
              <w:t>As per GCC</w:t>
            </w:r>
            <w:r>
              <w:rPr>
                <w:rFonts w:ascii="Segoe UI" w:hAnsi="Segoe UI" w:cs="Segoe UI"/>
                <w:kern w:val="0"/>
                <w:sz w:val="20"/>
              </w:rPr>
              <w:t xml:space="preserve"> </w:t>
            </w:r>
          </w:p>
        </w:tc>
      </w:tr>
      <w:tr w:rsidR="00020389" w:rsidRPr="00903569" w14:paraId="14869E6F" w14:textId="77777777" w:rsidTr="000019B5">
        <w:tc>
          <w:tcPr>
            <w:tcW w:w="562" w:type="dxa"/>
          </w:tcPr>
          <w:p w14:paraId="55DCEB23" w14:textId="77777777" w:rsidR="00020389" w:rsidRPr="00B56736"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17357F0D" w14:textId="77777777" w:rsidR="00020389" w:rsidRPr="00903569" w:rsidRDefault="00020389" w:rsidP="0093081E">
            <w:pPr>
              <w:autoSpaceDE w:val="0"/>
              <w:autoSpaceDN w:val="0"/>
              <w:adjustRightInd w:val="0"/>
              <w:rPr>
                <w:rFonts w:ascii="Segoe UI" w:hAnsi="Segoe UI" w:cs="Segoe UI"/>
                <w:kern w:val="0"/>
                <w:sz w:val="20"/>
              </w:rPr>
            </w:pPr>
            <w:r w:rsidRPr="00903569">
              <w:rPr>
                <w:rFonts w:ascii="Segoe UI" w:hAnsi="Segoe UI" w:cs="Segoe UI"/>
                <w:kern w:val="0"/>
                <w:sz w:val="20"/>
              </w:rPr>
              <w:t>ESI/ EPF/ WORKMEN COMPENSATION INSURANCE COVERAGE TO WORKERS</w:t>
            </w:r>
          </w:p>
        </w:tc>
        <w:tc>
          <w:tcPr>
            <w:tcW w:w="4678" w:type="dxa"/>
          </w:tcPr>
          <w:p w14:paraId="7A57C752" w14:textId="77777777" w:rsidR="00020389" w:rsidRPr="00903569" w:rsidRDefault="00020389" w:rsidP="0093081E">
            <w:pPr>
              <w:autoSpaceDE w:val="0"/>
              <w:autoSpaceDN w:val="0"/>
              <w:adjustRightInd w:val="0"/>
              <w:rPr>
                <w:rFonts w:ascii="Segoe UI" w:hAnsi="Segoe UI" w:cs="Segoe UI"/>
                <w:kern w:val="0"/>
                <w:sz w:val="20"/>
              </w:rPr>
            </w:pPr>
            <w:r>
              <w:rPr>
                <w:rFonts w:ascii="Segoe UI" w:hAnsi="Segoe UI" w:cs="Segoe UI"/>
                <w:kern w:val="0"/>
                <w:sz w:val="20"/>
              </w:rPr>
              <w:t xml:space="preserve">As </w:t>
            </w:r>
            <w:r w:rsidRPr="00903569">
              <w:rPr>
                <w:rFonts w:ascii="Segoe UI" w:hAnsi="Segoe UI" w:cs="Segoe UI"/>
                <w:kern w:val="0"/>
                <w:sz w:val="20"/>
              </w:rPr>
              <w:t xml:space="preserve"> Applicable</w:t>
            </w:r>
          </w:p>
        </w:tc>
      </w:tr>
      <w:tr w:rsidR="00020389" w:rsidRPr="00903569" w14:paraId="3D5C74C3" w14:textId="77777777" w:rsidTr="000019B5">
        <w:tc>
          <w:tcPr>
            <w:tcW w:w="562" w:type="dxa"/>
          </w:tcPr>
          <w:p w14:paraId="0B78D5BB" w14:textId="77777777" w:rsidR="00020389" w:rsidRPr="00B56736"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35AC0C66" w14:textId="77777777" w:rsidR="00020389" w:rsidRPr="00903569" w:rsidRDefault="00020389" w:rsidP="0093081E">
            <w:pPr>
              <w:autoSpaceDE w:val="0"/>
              <w:autoSpaceDN w:val="0"/>
              <w:adjustRightInd w:val="0"/>
              <w:rPr>
                <w:rFonts w:ascii="Segoe UI" w:hAnsi="Segoe UI" w:cs="Segoe UI"/>
                <w:kern w:val="0"/>
                <w:sz w:val="20"/>
              </w:rPr>
            </w:pPr>
            <w:r w:rsidRPr="00903569">
              <w:rPr>
                <w:rFonts w:ascii="Segoe UI" w:hAnsi="Segoe UI" w:cs="Segoe UI"/>
                <w:kern w:val="0"/>
                <w:sz w:val="20"/>
              </w:rPr>
              <w:t>Amount linked to Safety Aspects/ compliance to Safety Rules</w:t>
            </w:r>
          </w:p>
        </w:tc>
        <w:tc>
          <w:tcPr>
            <w:tcW w:w="4678" w:type="dxa"/>
          </w:tcPr>
          <w:p w14:paraId="24647801" w14:textId="77777777" w:rsidR="00020389" w:rsidRPr="00903569" w:rsidRDefault="00020389" w:rsidP="0093081E">
            <w:pPr>
              <w:autoSpaceDE w:val="0"/>
              <w:autoSpaceDN w:val="0"/>
              <w:adjustRightInd w:val="0"/>
              <w:rPr>
                <w:rFonts w:ascii="Segoe UI" w:hAnsi="Segoe UI" w:cs="Segoe UI"/>
                <w:kern w:val="0"/>
                <w:sz w:val="20"/>
              </w:rPr>
            </w:pPr>
            <w:r>
              <w:rPr>
                <w:rFonts w:ascii="Segoe UI" w:hAnsi="Segoe UI" w:cs="Segoe UI"/>
                <w:kern w:val="0"/>
                <w:sz w:val="20"/>
              </w:rPr>
              <w:t>As per GCC</w:t>
            </w:r>
          </w:p>
        </w:tc>
      </w:tr>
      <w:tr w:rsidR="00020389" w:rsidRPr="00903569" w14:paraId="3B7B8F9E" w14:textId="77777777" w:rsidTr="000019B5">
        <w:tc>
          <w:tcPr>
            <w:tcW w:w="562" w:type="dxa"/>
          </w:tcPr>
          <w:p w14:paraId="1EF831BC" w14:textId="77777777" w:rsidR="00020389" w:rsidRPr="00B56736"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3298CB6B" w14:textId="77777777" w:rsidR="00020389" w:rsidRPr="00903569" w:rsidRDefault="00020389" w:rsidP="0093081E">
            <w:pPr>
              <w:autoSpaceDE w:val="0"/>
              <w:autoSpaceDN w:val="0"/>
              <w:adjustRightInd w:val="0"/>
              <w:rPr>
                <w:rFonts w:ascii="Segoe UI" w:hAnsi="Segoe UI" w:cs="Segoe UI"/>
                <w:kern w:val="0"/>
                <w:sz w:val="20"/>
              </w:rPr>
            </w:pPr>
            <w:r w:rsidRPr="00903569">
              <w:rPr>
                <w:rFonts w:ascii="Segoe UI" w:hAnsi="Segoe UI" w:cs="Segoe UI"/>
                <w:kern w:val="0"/>
                <w:sz w:val="20"/>
              </w:rPr>
              <w:t>Third party liability insurance</w:t>
            </w:r>
          </w:p>
        </w:tc>
        <w:tc>
          <w:tcPr>
            <w:tcW w:w="4678" w:type="dxa"/>
          </w:tcPr>
          <w:p w14:paraId="2AC0A4B5" w14:textId="77777777" w:rsidR="00020389" w:rsidRPr="00903569" w:rsidRDefault="00020389" w:rsidP="0093081E">
            <w:pPr>
              <w:autoSpaceDE w:val="0"/>
              <w:autoSpaceDN w:val="0"/>
              <w:adjustRightInd w:val="0"/>
              <w:rPr>
                <w:rFonts w:ascii="Segoe UI" w:hAnsi="Segoe UI" w:cs="Segoe UI"/>
                <w:kern w:val="0"/>
                <w:sz w:val="20"/>
              </w:rPr>
            </w:pPr>
            <w:r w:rsidRPr="00903569">
              <w:rPr>
                <w:rFonts w:ascii="Segoe UI" w:hAnsi="Segoe UI" w:cs="Segoe UI"/>
                <w:kern w:val="0"/>
                <w:sz w:val="20"/>
              </w:rPr>
              <w:t xml:space="preserve"> Applicable</w:t>
            </w:r>
          </w:p>
        </w:tc>
      </w:tr>
      <w:tr w:rsidR="00020389" w:rsidRPr="00903569" w14:paraId="5821C6D4" w14:textId="77777777" w:rsidTr="000019B5">
        <w:tc>
          <w:tcPr>
            <w:tcW w:w="562" w:type="dxa"/>
          </w:tcPr>
          <w:p w14:paraId="0E416E67" w14:textId="77777777" w:rsidR="00020389" w:rsidRPr="00B56736" w:rsidRDefault="00020389" w:rsidP="00020389">
            <w:pPr>
              <w:pStyle w:val="ListParagraph"/>
              <w:numPr>
                <w:ilvl w:val="0"/>
                <w:numId w:val="4"/>
              </w:numPr>
              <w:autoSpaceDE w:val="0"/>
              <w:autoSpaceDN w:val="0"/>
              <w:adjustRightInd w:val="0"/>
              <w:jc w:val="both"/>
              <w:rPr>
                <w:rFonts w:ascii="Segoe UI" w:hAnsi="Segoe UI" w:cs="Segoe UI"/>
                <w:kern w:val="0"/>
                <w:sz w:val="20"/>
              </w:rPr>
            </w:pPr>
          </w:p>
        </w:tc>
        <w:tc>
          <w:tcPr>
            <w:tcW w:w="3544" w:type="dxa"/>
          </w:tcPr>
          <w:p w14:paraId="7F351C43" w14:textId="77777777" w:rsidR="00020389" w:rsidRPr="00903569" w:rsidRDefault="00020389" w:rsidP="0093081E">
            <w:pPr>
              <w:autoSpaceDE w:val="0"/>
              <w:autoSpaceDN w:val="0"/>
              <w:adjustRightInd w:val="0"/>
              <w:rPr>
                <w:rFonts w:ascii="Segoe UI" w:hAnsi="Segoe UI" w:cs="Segoe UI"/>
                <w:kern w:val="0"/>
                <w:sz w:val="20"/>
              </w:rPr>
            </w:pPr>
            <w:r w:rsidRPr="00903569">
              <w:rPr>
                <w:rFonts w:ascii="Segoe UI" w:hAnsi="Segoe UI" w:cs="Segoe UI"/>
                <w:kern w:val="0"/>
                <w:sz w:val="20"/>
              </w:rPr>
              <w:t>Other Terms and Conditions</w:t>
            </w:r>
          </w:p>
        </w:tc>
        <w:tc>
          <w:tcPr>
            <w:tcW w:w="4678" w:type="dxa"/>
          </w:tcPr>
          <w:p w14:paraId="338A350B" w14:textId="77777777" w:rsidR="00020389" w:rsidRPr="00903569" w:rsidRDefault="00020389" w:rsidP="0093081E">
            <w:pPr>
              <w:autoSpaceDE w:val="0"/>
              <w:autoSpaceDN w:val="0"/>
              <w:adjustRightInd w:val="0"/>
              <w:rPr>
                <w:rFonts w:ascii="Segoe UI" w:hAnsi="Segoe UI" w:cs="Segoe UI"/>
                <w:kern w:val="0"/>
                <w:sz w:val="20"/>
              </w:rPr>
            </w:pPr>
            <w:r w:rsidRPr="00903569">
              <w:rPr>
                <w:rFonts w:ascii="Segoe UI" w:hAnsi="Segoe UI" w:cs="Segoe UI"/>
                <w:kern w:val="0"/>
                <w:sz w:val="20"/>
              </w:rPr>
              <w:t>as per GCC</w:t>
            </w:r>
          </w:p>
        </w:tc>
      </w:tr>
      <w:bookmarkEnd w:id="0"/>
    </w:tbl>
    <w:p w14:paraId="7D35F104" w14:textId="77777777" w:rsidR="001F15E3" w:rsidRDefault="001F15E3" w:rsidP="001F15E3">
      <w:pPr>
        <w:autoSpaceDE w:val="0"/>
        <w:autoSpaceDN w:val="0"/>
        <w:adjustRightInd w:val="0"/>
        <w:spacing w:after="0" w:line="240" w:lineRule="auto"/>
        <w:rPr>
          <w:rFonts w:cs="Calibri"/>
          <w:b/>
          <w:bCs/>
        </w:rPr>
      </w:pPr>
    </w:p>
    <w:p w14:paraId="0D0E84DD" w14:textId="77777777" w:rsidR="006C43C8" w:rsidRDefault="006C43C8" w:rsidP="001F15E3">
      <w:pPr>
        <w:autoSpaceDE w:val="0"/>
        <w:autoSpaceDN w:val="0"/>
        <w:adjustRightInd w:val="0"/>
        <w:spacing w:after="0" w:line="240" w:lineRule="auto"/>
        <w:rPr>
          <w:rFonts w:cs="Calibri"/>
          <w:b/>
          <w:bCs/>
        </w:rPr>
      </w:pPr>
    </w:p>
    <w:p w14:paraId="3C977109" w14:textId="77777777" w:rsidR="006C43C8" w:rsidRDefault="006C43C8" w:rsidP="001F15E3">
      <w:pPr>
        <w:autoSpaceDE w:val="0"/>
        <w:autoSpaceDN w:val="0"/>
        <w:adjustRightInd w:val="0"/>
        <w:spacing w:after="0" w:line="240" w:lineRule="auto"/>
        <w:rPr>
          <w:rFonts w:cs="Calibri"/>
          <w:b/>
          <w:bCs/>
        </w:rPr>
      </w:pPr>
    </w:p>
    <w:p w14:paraId="3CC6DC4C" w14:textId="77777777" w:rsidR="006C43C8" w:rsidRDefault="006C43C8" w:rsidP="001F15E3">
      <w:pPr>
        <w:autoSpaceDE w:val="0"/>
        <w:autoSpaceDN w:val="0"/>
        <w:adjustRightInd w:val="0"/>
        <w:spacing w:after="0" w:line="240" w:lineRule="auto"/>
        <w:rPr>
          <w:rFonts w:cs="Calibri"/>
          <w:b/>
          <w:bCs/>
        </w:rPr>
      </w:pPr>
    </w:p>
    <w:p w14:paraId="3877B33A" w14:textId="77777777" w:rsidR="006C43C8" w:rsidRDefault="006C43C8" w:rsidP="001F15E3">
      <w:pPr>
        <w:autoSpaceDE w:val="0"/>
        <w:autoSpaceDN w:val="0"/>
        <w:adjustRightInd w:val="0"/>
        <w:spacing w:after="0" w:line="240" w:lineRule="auto"/>
        <w:rPr>
          <w:rFonts w:cs="Calibri"/>
          <w:b/>
          <w:bCs/>
        </w:rPr>
      </w:pPr>
    </w:p>
    <w:p w14:paraId="648501A1" w14:textId="77777777" w:rsidR="006C43C8" w:rsidRDefault="006C43C8" w:rsidP="001F15E3">
      <w:pPr>
        <w:autoSpaceDE w:val="0"/>
        <w:autoSpaceDN w:val="0"/>
        <w:adjustRightInd w:val="0"/>
        <w:spacing w:after="0" w:line="240" w:lineRule="auto"/>
        <w:rPr>
          <w:rFonts w:cs="Calibri"/>
          <w:b/>
          <w:bCs/>
        </w:rPr>
      </w:pPr>
    </w:p>
    <w:p w14:paraId="52DD3708" w14:textId="77777777" w:rsidR="006C43C8" w:rsidRDefault="006C43C8" w:rsidP="001F15E3">
      <w:pPr>
        <w:autoSpaceDE w:val="0"/>
        <w:autoSpaceDN w:val="0"/>
        <w:adjustRightInd w:val="0"/>
        <w:spacing w:after="0" w:line="240" w:lineRule="auto"/>
        <w:rPr>
          <w:rFonts w:cs="Calibri"/>
          <w:b/>
          <w:bCs/>
        </w:rPr>
      </w:pPr>
    </w:p>
    <w:p w14:paraId="6EB6034C" w14:textId="697E0F44" w:rsidR="006C43C8" w:rsidRDefault="0082124D" w:rsidP="001F15E3">
      <w:pPr>
        <w:autoSpaceDE w:val="0"/>
        <w:autoSpaceDN w:val="0"/>
        <w:adjustRightInd w:val="0"/>
        <w:spacing w:after="0" w:line="240" w:lineRule="auto"/>
        <w:rPr>
          <w:rFonts w:cs="Calibri"/>
          <w:b/>
          <w:bCs/>
        </w:rPr>
      </w:pPr>
      <w:r w:rsidRPr="0082124D">
        <w:rPr>
          <w:rFonts w:cs="Calibri"/>
          <w:b/>
          <w:bCs/>
        </w:rPr>
        <w:t>Maintenance Spares List for Runshare Boom Lift Model GTZZ24Z, Sl. # 2035Z24ZC0367</w:t>
      </w:r>
    </w:p>
    <w:p w14:paraId="1BDF0F0E" w14:textId="77777777" w:rsidR="006C43C8" w:rsidRDefault="006C43C8" w:rsidP="001F15E3">
      <w:pPr>
        <w:autoSpaceDE w:val="0"/>
        <w:autoSpaceDN w:val="0"/>
        <w:adjustRightInd w:val="0"/>
        <w:spacing w:after="0" w:line="240" w:lineRule="auto"/>
        <w:rPr>
          <w:rFonts w:cs="Calibri"/>
          <w:b/>
          <w:bCs/>
        </w:rPr>
      </w:pPr>
    </w:p>
    <w:p w14:paraId="62BE2BF5" w14:textId="77777777" w:rsidR="006C43C8" w:rsidRDefault="006C43C8" w:rsidP="001F15E3">
      <w:pPr>
        <w:autoSpaceDE w:val="0"/>
        <w:autoSpaceDN w:val="0"/>
        <w:adjustRightInd w:val="0"/>
        <w:spacing w:after="0" w:line="240" w:lineRule="auto"/>
        <w:rPr>
          <w:rFonts w:cs="Calibri"/>
          <w:b/>
          <w:bCs/>
        </w:rPr>
      </w:pPr>
    </w:p>
    <w:p w14:paraId="5C40C4BF" w14:textId="77777777" w:rsidR="006C43C8" w:rsidRDefault="006C43C8" w:rsidP="001F15E3">
      <w:pPr>
        <w:autoSpaceDE w:val="0"/>
        <w:autoSpaceDN w:val="0"/>
        <w:adjustRightInd w:val="0"/>
        <w:spacing w:after="0" w:line="240" w:lineRule="auto"/>
        <w:rPr>
          <w:rFonts w:cs="Calibri"/>
          <w:b/>
          <w:bCs/>
        </w:rPr>
      </w:pPr>
    </w:p>
    <w:p w14:paraId="7CD25620" w14:textId="77777777" w:rsidR="006C43C8" w:rsidRPr="00657834" w:rsidRDefault="006C43C8" w:rsidP="006C43C8">
      <w:pPr>
        <w:autoSpaceDE w:val="0"/>
        <w:autoSpaceDN w:val="0"/>
        <w:adjustRightInd w:val="0"/>
        <w:spacing w:after="0" w:line="240" w:lineRule="auto"/>
        <w:rPr>
          <w:rFonts w:ascii="Calibri" w:hAnsi="Calibri" w:cs="Calibri"/>
          <w:color w:val="000000"/>
          <w:sz w:val="28"/>
          <w:szCs w:val="28"/>
        </w:rPr>
      </w:pPr>
      <w:r>
        <w:rPr>
          <w:rFonts w:ascii="Calibri" w:hAnsi="Calibri" w:cs="Calibri"/>
          <w:color w:val="000000"/>
          <w:sz w:val="28"/>
          <w:szCs w:val="28"/>
        </w:rPr>
        <w:t>Annexure-1</w:t>
      </w:r>
    </w:p>
    <w:tbl>
      <w:tblPr>
        <w:tblW w:w="6879" w:type="dxa"/>
        <w:tblLook w:val="04A0" w:firstRow="1" w:lastRow="0" w:firstColumn="1" w:lastColumn="0" w:noHBand="0" w:noVBand="1"/>
      </w:tblPr>
      <w:tblGrid>
        <w:gridCol w:w="530"/>
        <w:gridCol w:w="2448"/>
        <w:gridCol w:w="2439"/>
        <w:gridCol w:w="576"/>
        <w:gridCol w:w="886"/>
      </w:tblGrid>
      <w:tr w:rsidR="003063F6" w:rsidRPr="00203C33" w14:paraId="741A367E" w14:textId="77777777" w:rsidTr="003063F6">
        <w:trPr>
          <w:trHeight w:val="272"/>
        </w:trPr>
        <w:tc>
          <w:tcPr>
            <w:tcW w:w="530" w:type="dxa"/>
            <w:tcBorders>
              <w:top w:val="nil"/>
              <w:left w:val="single" w:sz="4" w:space="0" w:color="auto"/>
              <w:bottom w:val="single" w:sz="4" w:space="0" w:color="auto"/>
              <w:right w:val="single" w:sz="4" w:space="0" w:color="auto"/>
            </w:tcBorders>
            <w:noWrap/>
            <w:vAlign w:val="bottom"/>
            <w:hideMark/>
          </w:tcPr>
          <w:p w14:paraId="00746383" w14:textId="77777777" w:rsidR="003063F6" w:rsidRPr="00203C33" w:rsidRDefault="003063F6" w:rsidP="00203C33">
            <w:pPr>
              <w:spacing w:after="0" w:line="240" w:lineRule="auto"/>
              <w:rPr>
                <w:rFonts w:ascii="Calibri" w:eastAsia="Times New Roman" w:hAnsi="Calibri" w:cs="Calibri"/>
                <w:b/>
                <w:bCs/>
                <w:color w:val="000000"/>
                <w:kern w:val="0"/>
                <w:szCs w:val="22"/>
                <w:lang w:eastAsia="en-IN" w:bidi="ar-SA"/>
                <w14:ligatures w14:val="none"/>
              </w:rPr>
            </w:pPr>
            <w:r w:rsidRPr="00203C33">
              <w:rPr>
                <w:rFonts w:ascii="Calibri" w:eastAsia="Times New Roman" w:hAnsi="Calibri" w:cs="Calibri"/>
                <w:b/>
                <w:bCs/>
                <w:color w:val="000000"/>
                <w:kern w:val="0"/>
                <w:szCs w:val="22"/>
                <w:lang w:eastAsia="en-IN" w:bidi="ar-SA"/>
                <w14:ligatures w14:val="none"/>
              </w:rPr>
              <w:t>S No</w:t>
            </w:r>
          </w:p>
        </w:tc>
        <w:tc>
          <w:tcPr>
            <w:tcW w:w="2448" w:type="dxa"/>
            <w:tcBorders>
              <w:top w:val="nil"/>
              <w:left w:val="nil"/>
              <w:bottom w:val="single" w:sz="4" w:space="0" w:color="auto"/>
              <w:right w:val="single" w:sz="4" w:space="0" w:color="auto"/>
            </w:tcBorders>
            <w:noWrap/>
            <w:vAlign w:val="bottom"/>
            <w:hideMark/>
          </w:tcPr>
          <w:p w14:paraId="0C1A439A" w14:textId="77777777" w:rsidR="003063F6" w:rsidRPr="00203C33" w:rsidRDefault="003063F6" w:rsidP="00203C33">
            <w:pPr>
              <w:spacing w:after="0" w:line="240" w:lineRule="auto"/>
              <w:rPr>
                <w:rFonts w:ascii="Calibri" w:eastAsia="Times New Roman" w:hAnsi="Calibri" w:cs="Calibri"/>
                <w:b/>
                <w:bCs/>
                <w:color w:val="000000"/>
                <w:kern w:val="0"/>
                <w:szCs w:val="22"/>
                <w:lang w:eastAsia="en-IN" w:bidi="ar-SA"/>
                <w14:ligatures w14:val="none"/>
              </w:rPr>
            </w:pPr>
            <w:r w:rsidRPr="00203C33">
              <w:rPr>
                <w:rFonts w:ascii="Calibri" w:eastAsia="Times New Roman" w:hAnsi="Calibri" w:cs="Calibri"/>
                <w:b/>
                <w:bCs/>
                <w:color w:val="000000"/>
                <w:kern w:val="0"/>
                <w:szCs w:val="22"/>
                <w:lang w:eastAsia="en-IN" w:bidi="ar-SA"/>
                <w14:ligatures w14:val="none"/>
              </w:rPr>
              <w:t>Part No</w:t>
            </w:r>
          </w:p>
        </w:tc>
        <w:tc>
          <w:tcPr>
            <w:tcW w:w="2439" w:type="dxa"/>
            <w:tcBorders>
              <w:top w:val="nil"/>
              <w:left w:val="nil"/>
              <w:bottom w:val="single" w:sz="4" w:space="0" w:color="auto"/>
              <w:right w:val="single" w:sz="4" w:space="0" w:color="auto"/>
            </w:tcBorders>
            <w:noWrap/>
            <w:vAlign w:val="bottom"/>
            <w:hideMark/>
          </w:tcPr>
          <w:p w14:paraId="66A02876" w14:textId="77777777" w:rsidR="003063F6" w:rsidRPr="00203C33" w:rsidRDefault="003063F6" w:rsidP="00203C33">
            <w:pPr>
              <w:spacing w:after="0" w:line="240" w:lineRule="auto"/>
              <w:rPr>
                <w:rFonts w:ascii="Calibri" w:eastAsia="Times New Roman" w:hAnsi="Calibri" w:cs="Calibri"/>
                <w:b/>
                <w:bCs/>
                <w:color w:val="000000"/>
                <w:kern w:val="0"/>
                <w:szCs w:val="22"/>
                <w:lang w:eastAsia="en-IN" w:bidi="ar-SA"/>
                <w14:ligatures w14:val="none"/>
              </w:rPr>
            </w:pPr>
            <w:r w:rsidRPr="00203C33">
              <w:rPr>
                <w:rFonts w:ascii="Calibri" w:eastAsia="Times New Roman" w:hAnsi="Calibri" w:cs="Calibri"/>
                <w:b/>
                <w:bCs/>
                <w:color w:val="000000"/>
                <w:kern w:val="0"/>
                <w:szCs w:val="22"/>
                <w:lang w:eastAsia="en-IN" w:bidi="ar-SA"/>
                <w14:ligatures w14:val="none"/>
              </w:rPr>
              <w:t xml:space="preserve">Item Description </w:t>
            </w:r>
          </w:p>
        </w:tc>
        <w:tc>
          <w:tcPr>
            <w:tcW w:w="576" w:type="dxa"/>
            <w:tcBorders>
              <w:top w:val="single" w:sz="4" w:space="0" w:color="auto"/>
              <w:left w:val="nil"/>
              <w:bottom w:val="single" w:sz="4" w:space="0" w:color="auto"/>
              <w:right w:val="single" w:sz="4" w:space="0" w:color="000000"/>
            </w:tcBorders>
            <w:noWrap/>
            <w:vAlign w:val="bottom"/>
            <w:hideMark/>
          </w:tcPr>
          <w:p w14:paraId="293D2114" w14:textId="77777777" w:rsidR="003063F6" w:rsidRPr="00203C33" w:rsidRDefault="003063F6" w:rsidP="00203C33">
            <w:pPr>
              <w:spacing w:after="0" w:line="240" w:lineRule="auto"/>
              <w:jc w:val="center"/>
              <w:rPr>
                <w:rFonts w:ascii="Calibri" w:eastAsia="Times New Roman" w:hAnsi="Calibri" w:cs="Calibri"/>
                <w:b/>
                <w:bCs/>
                <w:color w:val="000000"/>
                <w:kern w:val="0"/>
                <w:szCs w:val="22"/>
                <w:lang w:eastAsia="en-IN" w:bidi="ar-SA"/>
                <w14:ligatures w14:val="none"/>
              </w:rPr>
            </w:pPr>
            <w:r w:rsidRPr="00203C33">
              <w:rPr>
                <w:rFonts w:ascii="Calibri" w:eastAsia="Times New Roman" w:hAnsi="Calibri" w:cs="Calibri"/>
                <w:b/>
                <w:bCs/>
                <w:color w:val="000000"/>
                <w:kern w:val="0"/>
                <w:szCs w:val="22"/>
                <w:lang w:eastAsia="en-IN" w:bidi="ar-SA"/>
                <w14:ligatures w14:val="none"/>
              </w:rPr>
              <w:t>Qty</w:t>
            </w:r>
          </w:p>
        </w:tc>
        <w:tc>
          <w:tcPr>
            <w:tcW w:w="886" w:type="dxa"/>
            <w:tcBorders>
              <w:top w:val="nil"/>
              <w:left w:val="nil"/>
              <w:bottom w:val="single" w:sz="4" w:space="0" w:color="auto"/>
              <w:right w:val="single" w:sz="4" w:space="0" w:color="auto"/>
            </w:tcBorders>
            <w:noWrap/>
            <w:vAlign w:val="bottom"/>
            <w:hideMark/>
          </w:tcPr>
          <w:p w14:paraId="292AD522" w14:textId="77777777" w:rsidR="003063F6" w:rsidRPr="00203C33" w:rsidRDefault="003063F6" w:rsidP="00203C33">
            <w:pPr>
              <w:spacing w:after="0" w:line="240" w:lineRule="auto"/>
              <w:rPr>
                <w:rFonts w:ascii="Calibri" w:eastAsia="Times New Roman" w:hAnsi="Calibri" w:cs="Calibri"/>
                <w:b/>
                <w:bCs/>
                <w:color w:val="000000"/>
                <w:kern w:val="0"/>
                <w:szCs w:val="22"/>
                <w:lang w:eastAsia="en-IN" w:bidi="ar-SA"/>
                <w14:ligatures w14:val="none"/>
              </w:rPr>
            </w:pPr>
            <w:r w:rsidRPr="00203C33">
              <w:rPr>
                <w:rFonts w:ascii="Calibri" w:eastAsia="Times New Roman" w:hAnsi="Calibri" w:cs="Calibri"/>
                <w:b/>
                <w:bCs/>
                <w:color w:val="000000"/>
                <w:kern w:val="0"/>
                <w:szCs w:val="22"/>
                <w:lang w:eastAsia="en-IN" w:bidi="ar-SA"/>
                <w14:ligatures w14:val="none"/>
              </w:rPr>
              <w:t>Rate</w:t>
            </w:r>
          </w:p>
        </w:tc>
      </w:tr>
      <w:tr w:rsidR="003063F6" w:rsidRPr="00203C33" w14:paraId="7E6D28BB"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2CA96F7E"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2448" w:type="dxa"/>
            <w:tcBorders>
              <w:top w:val="nil"/>
              <w:left w:val="nil"/>
              <w:bottom w:val="single" w:sz="4" w:space="0" w:color="auto"/>
              <w:right w:val="single" w:sz="4" w:space="0" w:color="auto"/>
            </w:tcBorders>
            <w:noWrap/>
            <w:vAlign w:val="bottom"/>
            <w:hideMark/>
          </w:tcPr>
          <w:p w14:paraId="7B270804"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A22-EK01</w:t>
            </w:r>
          </w:p>
        </w:tc>
        <w:tc>
          <w:tcPr>
            <w:tcW w:w="2439" w:type="dxa"/>
            <w:tcBorders>
              <w:top w:val="nil"/>
              <w:left w:val="nil"/>
              <w:bottom w:val="single" w:sz="4" w:space="0" w:color="auto"/>
              <w:right w:val="single" w:sz="4" w:space="0" w:color="auto"/>
            </w:tcBorders>
            <w:noWrap/>
            <w:vAlign w:val="bottom"/>
            <w:hideMark/>
          </w:tcPr>
          <w:p w14:paraId="236B7A17"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Emergency Switch</w:t>
            </w:r>
          </w:p>
        </w:tc>
        <w:tc>
          <w:tcPr>
            <w:tcW w:w="576" w:type="dxa"/>
            <w:tcBorders>
              <w:top w:val="single" w:sz="4" w:space="0" w:color="auto"/>
              <w:left w:val="nil"/>
              <w:bottom w:val="single" w:sz="4" w:space="0" w:color="auto"/>
              <w:right w:val="single" w:sz="4" w:space="0" w:color="000000"/>
            </w:tcBorders>
            <w:noWrap/>
            <w:vAlign w:val="bottom"/>
            <w:hideMark/>
          </w:tcPr>
          <w:p w14:paraId="6D3788EA"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068C5A91" w14:textId="241C8051"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1B75F41B"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3CC07A81"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2</w:t>
            </w:r>
          </w:p>
        </w:tc>
        <w:tc>
          <w:tcPr>
            <w:tcW w:w="2448" w:type="dxa"/>
            <w:tcBorders>
              <w:top w:val="nil"/>
              <w:left w:val="nil"/>
              <w:bottom w:val="single" w:sz="4" w:space="0" w:color="auto"/>
              <w:right w:val="single" w:sz="4" w:space="0" w:color="auto"/>
            </w:tcBorders>
            <w:noWrap/>
            <w:vAlign w:val="bottom"/>
            <w:hideMark/>
          </w:tcPr>
          <w:p w14:paraId="3F288858"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KN1A-123-M(F)</w:t>
            </w:r>
          </w:p>
        </w:tc>
        <w:tc>
          <w:tcPr>
            <w:tcW w:w="2439" w:type="dxa"/>
            <w:tcBorders>
              <w:top w:val="nil"/>
              <w:left w:val="nil"/>
              <w:bottom w:val="single" w:sz="4" w:space="0" w:color="auto"/>
              <w:right w:val="single" w:sz="4" w:space="0" w:color="auto"/>
            </w:tcBorders>
            <w:noWrap/>
            <w:vAlign w:val="bottom"/>
            <w:hideMark/>
          </w:tcPr>
          <w:p w14:paraId="11037DE0"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Toggle switch</w:t>
            </w:r>
          </w:p>
        </w:tc>
        <w:tc>
          <w:tcPr>
            <w:tcW w:w="576" w:type="dxa"/>
            <w:tcBorders>
              <w:top w:val="single" w:sz="4" w:space="0" w:color="auto"/>
              <w:left w:val="nil"/>
              <w:bottom w:val="single" w:sz="4" w:space="0" w:color="auto"/>
              <w:right w:val="single" w:sz="4" w:space="0" w:color="000000"/>
            </w:tcBorders>
            <w:noWrap/>
            <w:vAlign w:val="bottom"/>
            <w:hideMark/>
          </w:tcPr>
          <w:p w14:paraId="4E00AF0D"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0B4853CD" w14:textId="74736A61"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0298F74C"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17226995"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3</w:t>
            </w:r>
          </w:p>
        </w:tc>
        <w:tc>
          <w:tcPr>
            <w:tcW w:w="2448" w:type="dxa"/>
            <w:tcBorders>
              <w:top w:val="nil"/>
              <w:left w:val="nil"/>
              <w:bottom w:val="single" w:sz="4" w:space="0" w:color="auto"/>
              <w:right w:val="single" w:sz="4" w:space="0" w:color="auto"/>
            </w:tcBorders>
            <w:noWrap/>
            <w:vAlign w:val="bottom"/>
            <w:hideMark/>
          </w:tcPr>
          <w:p w14:paraId="1E392E55"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KN1A-111-M(F)</w:t>
            </w:r>
          </w:p>
        </w:tc>
        <w:tc>
          <w:tcPr>
            <w:tcW w:w="2439" w:type="dxa"/>
            <w:tcBorders>
              <w:top w:val="nil"/>
              <w:left w:val="nil"/>
              <w:bottom w:val="single" w:sz="4" w:space="0" w:color="auto"/>
              <w:right w:val="single" w:sz="4" w:space="0" w:color="auto"/>
            </w:tcBorders>
            <w:noWrap/>
            <w:vAlign w:val="bottom"/>
            <w:hideMark/>
          </w:tcPr>
          <w:p w14:paraId="12B32502"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Toggle switch</w:t>
            </w:r>
          </w:p>
        </w:tc>
        <w:tc>
          <w:tcPr>
            <w:tcW w:w="576" w:type="dxa"/>
            <w:tcBorders>
              <w:top w:val="single" w:sz="4" w:space="0" w:color="auto"/>
              <w:left w:val="nil"/>
              <w:bottom w:val="single" w:sz="4" w:space="0" w:color="auto"/>
              <w:right w:val="single" w:sz="4" w:space="0" w:color="000000"/>
            </w:tcBorders>
            <w:noWrap/>
            <w:vAlign w:val="bottom"/>
            <w:hideMark/>
          </w:tcPr>
          <w:p w14:paraId="7D9F850E"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6BC0674A" w14:textId="0AC50BF8"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08D310CC"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4153E0B2"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4</w:t>
            </w:r>
          </w:p>
        </w:tc>
        <w:tc>
          <w:tcPr>
            <w:tcW w:w="2448" w:type="dxa"/>
            <w:tcBorders>
              <w:top w:val="nil"/>
              <w:left w:val="nil"/>
              <w:bottom w:val="single" w:sz="4" w:space="0" w:color="auto"/>
              <w:right w:val="single" w:sz="4" w:space="0" w:color="auto"/>
            </w:tcBorders>
            <w:noWrap/>
            <w:vAlign w:val="bottom"/>
            <w:hideMark/>
          </w:tcPr>
          <w:p w14:paraId="49DFEE73"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AZ9731-1C-12DC</w:t>
            </w:r>
          </w:p>
        </w:tc>
        <w:tc>
          <w:tcPr>
            <w:tcW w:w="2439" w:type="dxa"/>
            <w:tcBorders>
              <w:top w:val="nil"/>
              <w:left w:val="nil"/>
              <w:bottom w:val="single" w:sz="4" w:space="0" w:color="auto"/>
              <w:right w:val="single" w:sz="4" w:space="0" w:color="auto"/>
            </w:tcBorders>
            <w:noWrap/>
            <w:vAlign w:val="bottom"/>
            <w:hideMark/>
          </w:tcPr>
          <w:p w14:paraId="2ECB7DD5"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General relay</w:t>
            </w:r>
          </w:p>
        </w:tc>
        <w:tc>
          <w:tcPr>
            <w:tcW w:w="576" w:type="dxa"/>
            <w:tcBorders>
              <w:top w:val="single" w:sz="4" w:space="0" w:color="auto"/>
              <w:left w:val="nil"/>
              <w:bottom w:val="single" w:sz="4" w:space="0" w:color="auto"/>
              <w:right w:val="single" w:sz="4" w:space="0" w:color="000000"/>
            </w:tcBorders>
            <w:noWrap/>
            <w:vAlign w:val="bottom"/>
            <w:hideMark/>
          </w:tcPr>
          <w:p w14:paraId="4FA715DE"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57FEB60C" w14:textId="4468DEF8"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6E2468CF"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2438277F"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5</w:t>
            </w:r>
          </w:p>
        </w:tc>
        <w:tc>
          <w:tcPr>
            <w:tcW w:w="2448" w:type="dxa"/>
            <w:tcBorders>
              <w:top w:val="nil"/>
              <w:left w:val="nil"/>
              <w:bottom w:val="single" w:sz="4" w:space="0" w:color="auto"/>
              <w:right w:val="single" w:sz="4" w:space="0" w:color="auto"/>
            </w:tcBorders>
            <w:noWrap/>
            <w:vAlign w:val="bottom"/>
            <w:hideMark/>
          </w:tcPr>
          <w:p w14:paraId="194FEE42"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XS212BLPAM12</w:t>
            </w:r>
          </w:p>
        </w:tc>
        <w:tc>
          <w:tcPr>
            <w:tcW w:w="2439" w:type="dxa"/>
            <w:tcBorders>
              <w:top w:val="nil"/>
              <w:left w:val="nil"/>
              <w:bottom w:val="single" w:sz="4" w:space="0" w:color="auto"/>
              <w:right w:val="single" w:sz="4" w:space="0" w:color="auto"/>
            </w:tcBorders>
            <w:noWrap/>
            <w:vAlign w:val="bottom"/>
            <w:hideMark/>
          </w:tcPr>
          <w:p w14:paraId="2A741984"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Proximity switch</w:t>
            </w:r>
          </w:p>
        </w:tc>
        <w:tc>
          <w:tcPr>
            <w:tcW w:w="576" w:type="dxa"/>
            <w:tcBorders>
              <w:top w:val="single" w:sz="4" w:space="0" w:color="auto"/>
              <w:left w:val="nil"/>
              <w:bottom w:val="single" w:sz="4" w:space="0" w:color="auto"/>
              <w:right w:val="single" w:sz="4" w:space="0" w:color="000000"/>
            </w:tcBorders>
            <w:noWrap/>
            <w:vAlign w:val="bottom"/>
            <w:hideMark/>
          </w:tcPr>
          <w:p w14:paraId="4303B7FE"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00B6595A" w14:textId="063E9A94"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3991E0C9"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05D5B8E0"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6</w:t>
            </w:r>
          </w:p>
        </w:tc>
        <w:tc>
          <w:tcPr>
            <w:tcW w:w="2448" w:type="dxa"/>
            <w:tcBorders>
              <w:top w:val="nil"/>
              <w:left w:val="nil"/>
              <w:bottom w:val="single" w:sz="4" w:space="0" w:color="auto"/>
              <w:right w:val="single" w:sz="4" w:space="0" w:color="auto"/>
            </w:tcBorders>
            <w:noWrap/>
            <w:vAlign w:val="bottom"/>
            <w:hideMark/>
          </w:tcPr>
          <w:p w14:paraId="73221D99"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FO68580</w:t>
            </w:r>
          </w:p>
        </w:tc>
        <w:tc>
          <w:tcPr>
            <w:tcW w:w="2439" w:type="dxa"/>
            <w:tcBorders>
              <w:top w:val="nil"/>
              <w:left w:val="nil"/>
              <w:bottom w:val="single" w:sz="4" w:space="0" w:color="auto"/>
              <w:right w:val="single" w:sz="4" w:space="0" w:color="auto"/>
            </w:tcBorders>
            <w:noWrap/>
            <w:vAlign w:val="bottom"/>
            <w:hideMark/>
          </w:tcPr>
          <w:p w14:paraId="7ED66792"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Steering sensor</w:t>
            </w:r>
          </w:p>
        </w:tc>
        <w:tc>
          <w:tcPr>
            <w:tcW w:w="576" w:type="dxa"/>
            <w:tcBorders>
              <w:top w:val="single" w:sz="4" w:space="0" w:color="auto"/>
              <w:left w:val="nil"/>
              <w:bottom w:val="single" w:sz="4" w:space="0" w:color="auto"/>
              <w:right w:val="single" w:sz="4" w:space="0" w:color="000000"/>
            </w:tcBorders>
            <w:noWrap/>
            <w:vAlign w:val="bottom"/>
            <w:hideMark/>
          </w:tcPr>
          <w:p w14:paraId="025048F3"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5D0B3DF6" w14:textId="2ABCC202"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099649DE"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2C694395"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7</w:t>
            </w:r>
          </w:p>
        </w:tc>
        <w:tc>
          <w:tcPr>
            <w:tcW w:w="2448" w:type="dxa"/>
            <w:tcBorders>
              <w:top w:val="nil"/>
              <w:left w:val="nil"/>
              <w:bottom w:val="single" w:sz="4" w:space="0" w:color="auto"/>
              <w:right w:val="single" w:sz="4" w:space="0" w:color="auto"/>
            </w:tcBorders>
            <w:noWrap/>
            <w:vAlign w:val="bottom"/>
            <w:hideMark/>
          </w:tcPr>
          <w:p w14:paraId="5D526652"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1036-0002</w:t>
            </w:r>
          </w:p>
        </w:tc>
        <w:tc>
          <w:tcPr>
            <w:tcW w:w="2439" w:type="dxa"/>
            <w:tcBorders>
              <w:top w:val="nil"/>
              <w:left w:val="nil"/>
              <w:bottom w:val="single" w:sz="4" w:space="0" w:color="auto"/>
              <w:right w:val="single" w:sz="4" w:space="0" w:color="auto"/>
            </w:tcBorders>
            <w:noWrap/>
            <w:vAlign w:val="bottom"/>
            <w:hideMark/>
          </w:tcPr>
          <w:p w14:paraId="3D2C44A9"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Potentiometer</w:t>
            </w:r>
          </w:p>
        </w:tc>
        <w:tc>
          <w:tcPr>
            <w:tcW w:w="576" w:type="dxa"/>
            <w:tcBorders>
              <w:top w:val="single" w:sz="4" w:space="0" w:color="auto"/>
              <w:left w:val="nil"/>
              <w:bottom w:val="single" w:sz="4" w:space="0" w:color="auto"/>
              <w:right w:val="single" w:sz="4" w:space="0" w:color="000000"/>
            </w:tcBorders>
            <w:noWrap/>
            <w:vAlign w:val="bottom"/>
            <w:hideMark/>
          </w:tcPr>
          <w:p w14:paraId="6652DE4F"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14277184" w14:textId="266BA0F1"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273B1135"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659C854A"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8</w:t>
            </w:r>
          </w:p>
        </w:tc>
        <w:tc>
          <w:tcPr>
            <w:tcW w:w="2448" w:type="dxa"/>
            <w:tcBorders>
              <w:top w:val="nil"/>
              <w:left w:val="nil"/>
              <w:bottom w:val="single" w:sz="4" w:space="0" w:color="auto"/>
              <w:right w:val="single" w:sz="4" w:space="0" w:color="auto"/>
            </w:tcBorders>
            <w:noWrap/>
            <w:vAlign w:val="bottom"/>
            <w:hideMark/>
          </w:tcPr>
          <w:p w14:paraId="40B25833"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BSQ-2/12V DC</w:t>
            </w:r>
          </w:p>
        </w:tc>
        <w:tc>
          <w:tcPr>
            <w:tcW w:w="2439" w:type="dxa"/>
            <w:tcBorders>
              <w:top w:val="nil"/>
              <w:left w:val="nil"/>
              <w:bottom w:val="single" w:sz="4" w:space="0" w:color="auto"/>
              <w:right w:val="single" w:sz="4" w:space="0" w:color="auto"/>
            </w:tcBorders>
            <w:noWrap/>
            <w:vAlign w:val="bottom"/>
            <w:hideMark/>
          </w:tcPr>
          <w:p w14:paraId="14EE8116"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Weighting sensor (with transmitter)</w:t>
            </w:r>
          </w:p>
        </w:tc>
        <w:tc>
          <w:tcPr>
            <w:tcW w:w="576" w:type="dxa"/>
            <w:tcBorders>
              <w:top w:val="single" w:sz="4" w:space="0" w:color="auto"/>
              <w:left w:val="nil"/>
              <w:bottom w:val="single" w:sz="4" w:space="0" w:color="auto"/>
              <w:right w:val="single" w:sz="4" w:space="0" w:color="000000"/>
            </w:tcBorders>
            <w:noWrap/>
            <w:vAlign w:val="bottom"/>
            <w:hideMark/>
          </w:tcPr>
          <w:p w14:paraId="1CDAD354"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11EA090C" w14:textId="0A0A0BB4"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7278152D"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200FF1A7"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9</w:t>
            </w:r>
          </w:p>
        </w:tc>
        <w:tc>
          <w:tcPr>
            <w:tcW w:w="2448" w:type="dxa"/>
            <w:tcBorders>
              <w:top w:val="nil"/>
              <w:left w:val="nil"/>
              <w:bottom w:val="single" w:sz="4" w:space="0" w:color="auto"/>
              <w:right w:val="single" w:sz="4" w:space="0" w:color="auto"/>
            </w:tcBorders>
            <w:noWrap/>
            <w:vAlign w:val="bottom"/>
            <w:hideMark/>
          </w:tcPr>
          <w:p w14:paraId="1EB64D84"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YWZ-200T</w:t>
            </w:r>
          </w:p>
        </w:tc>
        <w:tc>
          <w:tcPr>
            <w:tcW w:w="2439" w:type="dxa"/>
            <w:tcBorders>
              <w:top w:val="nil"/>
              <w:left w:val="nil"/>
              <w:bottom w:val="single" w:sz="4" w:space="0" w:color="auto"/>
              <w:right w:val="single" w:sz="4" w:space="0" w:color="auto"/>
            </w:tcBorders>
            <w:noWrap/>
            <w:vAlign w:val="bottom"/>
            <w:hideMark/>
          </w:tcPr>
          <w:p w14:paraId="52C87D1F"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Level gauge</w:t>
            </w:r>
          </w:p>
        </w:tc>
        <w:tc>
          <w:tcPr>
            <w:tcW w:w="576" w:type="dxa"/>
            <w:tcBorders>
              <w:top w:val="single" w:sz="4" w:space="0" w:color="auto"/>
              <w:left w:val="nil"/>
              <w:bottom w:val="single" w:sz="4" w:space="0" w:color="auto"/>
              <w:right w:val="single" w:sz="4" w:space="0" w:color="000000"/>
            </w:tcBorders>
            <w:noWrap/>
            <w:vAlign w:val="bottom"/>
            <w:hideMark/>
          </w:tcPr>
          <w:p w14:paraId="7074E2A1"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4F27288F" w14:textId="3E6FBD2D"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0D75F2C3"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03D141E2"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10</w:t>
            </w:r>
          </w:p>
        </w:tc>
        <w:tc>
          <w:tcPr>
            <w:tcW w:w="2448" w:type="dxa"/>
            <w:tcBorders>
              <w:top w:val="nil"/>
              <w:left w:val="nil"/>
              <w:bottom w:val="single" w:sz="4" w:space="0" w:color="auto"/>
              <w:right w:val="single" w:sz="4" w:space="0" w:color="auto"/>
            </w:tcBorders>
            <w:noWrap/>
            <w:vAlign w:val="bottom"/>
            <w:hideMark/>
          </w:tcPr>
          <w:p w14:paraId="0DD92930"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QD25-515-155(1500N)</w:t>
            </w:r>
          </w:p>
        </w:tc>
        <w:tc>
          <w:tcPr>
            <w:tcW w:w="2439" w:type="dxa"/>
            <w:tcBorders>
              <w:top w:val="nil"/>
              <w:left w:val="nil"/>
              <w:bottom w:val="single" w:sz="4" w:space="0" w:color="auto"/>
              <w:right w:val="single" w:sz="4" w:space="0" w:color="auto"/>
            </w:tcBorders>
            <w:noWrap/>
            <w:vAlign w:val="bottom"/>
            <w:hideMark/>
          </w:tcPr>
          <w:p w14:paraId="5F0DBEBF"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Air support</w:t>
            </w:r>
          </w:p>
        </w:tc>
        <w:tc>
          <w:tcPr>
            <w:tcW w:w="576" w:type="dxa"/>
            <w:tcBorders>
              <w:top w:val="single" w:sz="4" w:space="0" w:color="auto"/>
              <w:left w:val="nil"/>
              <w:bottom w:val="single" w:sz="4" w:space="0" w:color="auto"/>
              <w:right w:val="single" w:sz="4" w:space="0" w:color="000000"/>
            </w:tcBorders>
            <w:noWrap/>
            <w:vAlign w:val="bottom"/>
            <w:hideMark/>
          </w:tcPr>
          <w:p w14:paraId="2D5B9AF3"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2E5435E5" w14:textId="5FB93772"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6BCD1386"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00EEC9BB"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11</w:t>
            </w:r>
          </w:p>
        </w:tc>
        <w:tc>
          <w:tcPr>
            <w:tcW w:w="2448" w:type="dxa"/>
            <w:tcBorders>
              <w:top w:val="nil"/>
              <w:left w:val="nil"/>
              <w:bottom w:val="single" w:sz="4" w:space="0" w:color="auto"/>
              <w:right w:val="single" w:sz="4" w:space="0" w:color="auto"/>
            </w:tcBorders>
            <w:noWrap/>
            <w:vAlign w:val="bottom"/>
            <w:hideMark/>
          </w:tcPr>
          <w:p w14:paraId="63BDC8D3"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QD25-550-175(1500N)</w:t>
            </w:r>
          </w:p>
        </w:tc>
        <w:tc>
          <w:tcPr>
            <w:tcW w:w="2439" w:type="dxa"/>
            <w:tcBorders>
              <w:top w:val="nil"/>
              <w:left w:val="nil"/>
              <w:bottom w:val="single" w:sz="4" w:space="0" w:color="auto"/>
              <w:right w:val="single" w:sz="4" w:space="0" w:color="auto"/>
            </w:tcBorders>
            <w:noWrap/>
            <w:vAlign w:val="bottom"/>
            <w:hideMark/>
          </w:tcPr>
          <w:p w14:paraId="02CE21D8"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Air support</w:t>
            </w:r>
          </w:p>
        </w:tc>
        <w:tc>
          <w:tcPr>
            <w:tcW w:w="576" w:type="dxa"/>
            <w:tcBorders>
              <w:top w:val="single" w:sz="4" w:space="0" w:color="auto"/>
              <w:left w:val="nil"/>
              <w:bottom w:val="single" w:sz="4" w:space="0" w:color="auto"/>
              <w:right w:val="single" w:sz="4" w:space="0" w:color="000000"/>
            </w:tcBorders>
            <w:noWrap/>
            <w:vAlign w:val="bottom"/>
            <w:hideMark/>
          </w:tcPr>
          <w:p w14:paraId="38F51C95"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w:t>
            </w:r>
          </w:p>
        </w:tc>
        <w:tc>
          <w:tcPr>
            <w:tcW w:w="886" w:type="dxa"/>
            <w:tcBorders>
              <w:top w:val="nil"/>
              <w:left w:val="nil"/>
              <w:bottom w:val="single" w:sz="4" w:space="0" w:color="auto"/>
              <w:right w:val="single" w:sz="4" w:space="0" w:color="auto"/>
            </w:tcBorders>
            <w:noWrap/>
            <w:vAlign w:val="bottom"/>
          </w:tcPr>
          <w:p w14:paraId="2E56540D" w14:textId="5F90F0EC"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49EEFD38"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3572F9DC"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12</w:t>
            </w:r>
          </w:p>
        </w:tc>
        <w:tc>
          <w:tcPr>
            <w:tcW w:w="2448" w:type="dxa"/>
            <w:tcBorders>
              <w:top w:val="nil"/>
              <w:left w:val="nil"/>
              <w:bottom w:val="single" w:sz="4" w:space="0" w:color="auto"/>
              <w:right w:val="single" w:sz="4" w:space="0" w:color="auto"/>
            </w:tcBorders>
            <w:noWrap/>
            <w:vAlign w:val="bottom"/>
            <w:hideMark/>
          </w:tcPr>
          <w:p w14:paraId="16E84245"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P828889</w:t>
            </w:r>
          </w:p>
        </w:tc>
        <w:tc>
          <w:tcPr>
            <w:tcW w:w="2439" w:type="dxa"/>
            <w:tcBorders>
              <w:top w:val="nil"/>
              <w:left w:val="nil"/>
              <w:bottom w:val="single" w:sz="4" w:space="0" w:color="auto"/>
              <w:right w:val="single" w:sz="4" w:space="0" w:color="auto"/>
            </w:tcBorders>
            <w:noWrap/>
            <w:vAlign w:val="bottom"/>
            <w:hideMark/>
          </w:tcPr>
          <w:p w14:paraId="67430045"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Air filter (grade 1</w:t>
            </w:r>
            <w:r w:rsidRPr="00203C33">
              <w:rPr>
                <w:rFonts w:ascii="MS Gothic" w:eastAsia="MS Gothic" w:hAnsi="MS Gothic" w:cs="MS Gothic"/>
                <w:color w:val="000000"/>
                <w:kern w:val="0"/>
                <w:szCs w:val="22"/>
                <w:lang w:eastAsia="en-IN" w:bidi="ar-SA"/>
                <w14:ligatures w14:val="none"/>
              </w:rPr>
              <w:t>）</w:t>
            </w:r>
          </w:p>
        </w:tc>
        <w:tc>
          <w:tcPr>
            <w:tcW w:w="576" w:type="dxa"/>
            <w:tcBorders>
              <w:top w:val="single" w:sz="4" w:space="0" w:color="auto"/>
              <w:left w:val="nil"/>
              <w:bottom w:val="single" w:sz="4" w:space="0" w:color="auto"/>
              <w:right w:val="single" w:sz="4" w:space="0" w:color="000000"/>
            </w:tcBorders>
            <w:noWrap/>
            <w:vAlign w:val="bottom"/>
            <w:hideMark/>
          </w:tcPr>
          <w:p w14:paraId="106E418B"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2</w:t>
            </w:r>
          </w:p>
        </w:tc>
        <w:tc>
          <w:tcPr>
            <w:tcW w:w="886" w:type="dxa"/>
            <w:tcBorders>
              <w:top w:val="nil"/>
              <w:left w:val="nil"/>
              <w:bottom w:val="single" w:sz="4" w:space="0" w:color="auto"/>
              <w:right w:val="single" w:sz="4" w:space="0" w:color="auto"/>
            </w:tcBorders>
            <w:noWrap/>
            <w:vAlign w:val="bottom"/>
          </w:tcPr>
          <w:p w14:paraId="70D5293D" w14:textId="567765C6"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643C2584"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707537E4"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13</w:t>
            </w:r>
          </w:p>
        </w:tc>
        <w:tc>
          <w:tcPr>
            <w:tcW w:w="2448" w:type="dxa"/>
            <w:tcBorders>
              <w:top w:val="nil"/>
              <w:left w:val="nil"/>
              <w:bottom w:val="single" w:sz="4" w:space="0" w:color="auto"/>
              <w:right w:val="single" w:sz="4" w:space="0" w:color="auto"/>
            </w:tcBorders>
            <w:noWrap/>
            <w:vAlign w:val="bottom"/>
            <w:hideMark/>
          </w:tcPr>
          <w:p w14:paraId="5BEE0AE8"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P829333</w:t>
            </w:r>
          </w:p>
        </w:tc>
        <w:tc>
          <w:tcPr>
            <w:tcW w:w="2439" w:type="dxa"/>
            <w:tcBorders>
              <w:top w:val="nil"/>
              <w:left w:val="nil"/>
              <w:bottom w:val="single" w:sz="4" w:space="0" w:color="auto"/>
              <w:right w:val="single" w:sz="4" w:space="0" w:color="auto"/>
            </w:tcBorders>
            <w:noWrap/>
            <w:vAlign w:val="bottom"/>
            <w:hideMark/>
          </w:tcPr>
          <w:p w14:paraId="56254178"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Air filter (grade 2</w:t>
            </w:r>
            <w:r w:rsidRPr="00203C33">
              <w:rPr>
                <w:rFonts w:ascii="MS Gothic" w:eastAsia="MS Gothic" w:hAnsi="MS Gothic" w:cs="MS Gothic"/>
                <w:color w:val="000000"/>
                <w:kern w:val="0"/>
                <w:szCs w:val="22"/>
                <w:lang w:eastAsia="en-IN" w:bidi="ar-SA"/>
                <w14:ligatures w14:val="none"/>
              </w:rPr>
              <w:t>）</w:t>
            </w:r>
          </w:p>
        </w:tc>
        <w:tc>
          <w:tcPr>
            <w:tcW w:w="576" w:type="dxa"/>
            <w:tcBorders>
              <w:top w:val="single" w:sz="4" w:space="0" w:color="auto"/>
              <w:left w:val="nil"/>
              <w:bottom w:val="single" w:sz="4" w:space="0" w:color="auto"/>
              <w:right w:val="single" w:sz="4" w:space="0" w:color="000000"/>
            </w:tcBorders>
            <w:noWrap/>
            <w:vAlign w:val="bottom"/>
            <w:hideMark/>
          </w:tcPr>
          <w:p w14:paraId="6E4D749A"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2</w:t>
            </w:r>
          </w:p>
        </w:tc>
        <w:tc>
          <w:tcPr>
            <w:tcW w:w="886" w:type="dxa"/>
            <w:tcBorders>
              <w:top w:val="nil"/>
              <w:left w:val="nil"/>
              <w:bottom w:val="single" w:sz="4" w:space="0" w:color="auto"/>
              <w:right w:val="single" w:sz="4" w:space="0" w:color="auto"/>
            </w:tcBorders>
            <w:noWrap/>
            <w:vAlign w:val="bottom"/>
          </w:tcPr>
          <w:p w14:paraId="2C7F3A3F" w14:textId="3D88472E"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721C9256"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727833E8"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14</w:t>
            </w:r>
          </w:p>
        </w:tc>
        <w:tc>
          <w:tcPr>
            <w:tcW w:w="2448" w:type="dxa"/>
            <w:tcBorders>
              <w:top w:val="nil"/>
              <w:left w:val="nil"/>
              <w:bottom w:val="single" w:sz="4" w:space="0" w:color="auto"/>
              <w:right w:val="single" w:sz="4" w:space="0" w:color="auto"/>
            </w:tcBorders>
            <w:noWrap/>
            <w:vAlign w:val="bottom"/>
            <w:hideMark/>
          </w:tcPr>
          <w:p w14:paraId="086C4E42"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FS20020</w:t>
            </w:r>
          </w:p>
        </w:tc>
        <w:tc>
          <w:tcPr>
            <w:tcW w:w="2439" w:type="dxa"/>
            <w:tcBorders>
              <w:top w:val="nil"/>
              <w:left w:val="nil"/>
              <w:bottom w:val="single" w:sz="4" w:space="0" w:color="auto"/>
              <w:right w:val="single" w:sz="4" w:space="0" w:color="auto"/>
            </w:tcBorders>
            <w:noWrap/>
            <w:vAlign w:val="bottom"/>
            <w:hideMark/>
          </w:tcPr>
          <w:p w14:paraId="3E0300EF"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Oil and water separator filter</w:t>
            </w:r>
          </w:p>
        </w:tc>
        <w:tc>
          <w:tcPr>
            <w:tcW w:w="576" w:type="dxa"/>
            <w:tcBorders>
              <w:top w:val="single" w:sz="4" w:space="0" w:color="auto"/>
              <w:left w:val="nil"/>
              <w:bottom w:val="single" w:sz="4" w:space="0" w:color="auto"/>
              <w:right w:val="single" w:sz="4" w:space="0" w:color="000000"/>
            </w:tcBorders>
            <w:noWrap/>
            <w:vAlign w:val="bottom"/>
            <w:hideMark/>
          </w:tcPr>
          <w:p w14:paraId="1447AB31"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4</w:t>
            </w:r>
          </w:p>
        </w:tc>
        <w:tc>
          <w:tcPr>
            <w:tcW w:w="886" w:type="dxa"/>
            <w:tcBorders>
              <w:top w:val="nil"/>
              <w:left w:val="nil"/>
              <w:bottom w:val="single" w:sz="4" w:space="0" w:color="auto"/>
              <w:right w:val="single" w:sz="4" w:space="0" w:color="auto"/>
            </w:tcBorders>
            <w:noWrap/>
            <w:vAlign w:val="bottom"/>
          </w:tcPr>
          <w:p w14:paraId="1C7F2C87" w14:textId="301F78EB"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332B9D6C"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4D26ED12"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15</w:t>
            </w:r>
          </w:p>
        </w:tc>
        <w:tc>
          <w:tcPr>
            <w:tcW w:w="2448" w:type="dxa"/>
            <w:tcBorders>
              <w:top w:val="nil"/>
              <w:left w:val="nil"/>
              <w:bottom w:val="single" w:sz="4" w:space="0" w:color="auto"/>
              <w:right w:val="single" w:sz="4" w:space="0" w:color="auto"/>
            </w:tcBorders>
            <w:noWrap/>
            <w:vAlign w:val="bottom"/>
            <w:hideMark/>
          </w:tcPr>
          <w:p w14:paraId="6961A0E1"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5266016</w:t>
            </w:r>
          </w:p>
        </w:tc>
        <w:tc>
          <w:tcPr>
            <w:tcW w:w="2439" w:type="dxa"/>
            <w:tcBorders>
              <w:top w:val="nil"/>
              <w:left w:val="nil"/>
              <w:bottom w:val="single" w:sz="4" w:space="0" w:color="auto"/>
              <w:right w:val="single" w:sz="4" w:space="0" w:color="auto"/>
            </w:tcBorders>
            <w:noWrap/>
            <w:vAlign w:val="bottom"/>
            <w:hideMark/>
          </w:tcPr>
          <w:p w14:paraId="6165D3AB"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Cummins stageIII) Oil filter</w:t>
            </w:r>
          </w:p>
        </w:tc>
        <w:tc>
          <w:tcPr>
            <w:tcW w:w="576" w:type="dxa"/>
            <w:tcBorders>
              <w:top w:val="single" w:sz="4" w:space="0" w:color="auto"/>
              <w:left w:val="nil"/>
              <w:bottom w:val="single" w:sz="4" w:space="0" w:color="auto"/>
              <w:right w:val="single" w:sz="4" w:space="0" w:color="000000"/>
            </w:tcBorders>
            <w:noWrap/>
            <w:vAlign w:val="bottom"/>
            <w:hideMark/>
          </w:tcPr>
          <w:p w14:paraId="1A763199"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4</w:t>
            </w:r>
          </w:p>
        </w:tc>
        <w:tc>
          <w:tcPr>
            <w:tcW w:w="886" w:type="dxa"/>
            <w:tcBorders>
              <w:top w:val="nil"/>
              <w:left w:val="nil"/>
              <w:bottom w:val="single" w:sz="4" w:space="0" w:color="auto"/>
              <w:right w:val="single" w:sz="4" w:space="0" w:color="auto"/>
            </w:tcBorders>
            <w:noWrap/>
            <w:vAlign w:val="bottom"/>
          </w:tcPr>
          <w:p w14:paraId="43597254" w14:textId="426E949B"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42FA60F8"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2B42F574"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16</w:t>
            </w:r>
          </w:p>
        </w:tc>
        <w:tc>
          <w:tcPr>
            <w:tcW w:w="2448" w:type="dxa"/>
            <w:tcBorders>
              <w:top w:val="nil"/>
              <w:left w:val="nil"/>
              <w:bottom w:val="single" w:sz="4" w:space="0" w:color="auto"/>
              <w:right w:val="single" w:sz="4" w:space="0" w:color="auto"/>
            </w:tcBorders>
            <w:noWrap/>
            <w:vAlign w:val="bottom"/>
            <w:hideMark/>
          </w:tcPr>
          <w:p w14:paraId="42CF25FA"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FS36209</w:t>
            </w:r>
          </w:p>
        </w:tc>
        <w:tc>
          <w:tcPr>
            <w:tcW w:w="2439" w:type="dxa"/>
            <w:tcBorders>
              <w:top w:val="nil"/>
              <w:left w:val="nil"/>
              <w:bottom w:val="single" w:sz="4" w:space="0" w:color="auto"/>
              <w:right w:val="single" w:sz="4" w:space="0" w:color="auto"/>
            </w:tcBorders>
            <w:noWrap/>
            <w:vAlign w:val="bottom"/>
            <w:hideMark/>
          </w:tcPr>
          <w:p w14:paraId="1FF0C290"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Cummins stageIII) Diesel filter</w:t>
            </w:r>
          </w:p>
        </w:tc>
        <w:tc>
          <w:tcPr>
            <w:tcW w:w="576" w:type="dxa"/>
            <w:tcBorders>
              <w:top w:val="single" w:sz="4" w:space="0" w:color="auto"/>
              <w:left w:val="nil"/>
              <w:bottom w:val="single" w:sz="4" w:space="0" w:color="auto"/>
              <w:right w:val="single" w:sz="4" w:space="0" w:color="000000"/>
            </w:tcBorders>
            <w:noWrap/>
            <w:vAlign w:val="bottom"/>
            <w:hideMark/>
          </w:tcPr>
          <w:p w14:paraId="7264C083"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3</w:t>
            </w:r>
          </w:p>
        </w:tc>
        <w:tc>
          <w:tcPr>
            <w:tcW w:w="886" w:type="dxa"/>
            <w:tcBorders>
              <w:top w:val="nil"/>
              <w:left w:val="nil"/>
              <w:bottom w:val="single" w:sz="4" w:space="0" w:color="auto"/>
              <w:right w:val="single" w:sz="4" w:space="0" w:color="auto"/>
            </w:tcBorders>
            <w:noWrap/>
            <w:vAlign w:val="bottom"/>
          </w:tcPr>
          <w:p w14:paraId="1E3A5641" w14:textId="2747D1DB"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6319D195"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1A66E73B"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17</w:t>
            </w:r>
          </w:p>
        </w:tc>
        <w:tc>
          <w:tcPr>
            <w:tcW w:w="2448" w:type="dxa"/>
            <w:tcBorders>
              <w:top w:val="nil"/>
              <w:left w:val="nil"/>
              <w:bottom w:val="single" w:sz="4" w:space="0" w:color="auto"/>
              <w:right w:val="single" w:sz="4" w:space="0" w:color="auto"/>
            </w:tcBorders>
            <w:noWrap/>
            <w:vAlign w:val="bottom"/>
            <w:hideMark/>
          </w:tcPr>
          <w:p w14:paraId="78C193CD"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LH0110D010BN/HC</w:t>
            </w:r>
          </w:p>
        </w:tc>
        <w:tc>
          <w:tcPr>
            <w:tcW w:w="2439" w:type="dxa"/>
            <w:tcBorders>
              <w:top w:val="nil"/>
              <w:left w:val="nil"/>
              <w:bottom w:val="single" w:sz="4" w:space="0" w:color="auto"/>
              <w:right w:val="single" w:sz="4" w:space="0" w:color="auto"/>
            </w:tcBorders>
            <w:noWrap/>
            <w:vAlign w:val="bottom"/>
            <w:hideMark/>
          </w:tcPr>
          <w:p w14:paraId="355029B7"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HIGH PRESSURE FILTER</w:t>
            </w:r>
          </w:p>
        </w:tc>
        <w:tc>
          <w:tcPr>
            <w:tcW w:w="576" w:type="dxa"/>
            <w:tcBorders>
              <w:top w:val="single" w:sz="4" w:space="0" w:color="auto"/>
              <w:left w:val="nil"/>
              <w:bottom w:val="single" w:sz="4" w:space="0" w:color="auto"/>
              <w:right w:val="single" w:sz="4" w:space="0" w:color="000000"/>
            </w:tcBorders>
            <w:noWrap/>
            <w:vAlign w:val="bottom"/>
            <w:hideMark/>
          </w:tcPr>
          <w:p w14:paraId="5F5D3043"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2</w:t>
            </w:r>
          </w:p>
        </w:tc>
        <w:tc>
          <w:tcPr>
            <w:tcW w:w="886" w:type="dxa"/>
            <w:tcBorders>
              <w:top w:val="nil"/>
              <w:left w:val="nil"/>
              <w:bottom w:val="single" w:sz="4" w:space="0" w:color="auto"/>
              <w:right w:val="single" w:sz="4" w:space="0" w:color="auto"/>
            </w:tcBorders>
            <w:noWrap/>
            <w:vAlign w:val="bottom"/>
          </w:tcPr>
          <w:p w14:paraId="151171EE" w14:textId="094A8658"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43FB2125"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708A30FF"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18</w:t>
            </w:r>
          </w:p>
        </w:tc>
        <w:tc>
          <w:tcPr>
            <w:tcW w:w="2448" w:type="dxa"/>
            <w:tcBorders>
              <w:top w:val="nil"/>
              <w:left w:val="nil"/>
              <w:bottom w:val="single" w:sz="4" w:space="0" w:color="auto"/>
              <w:right w:val="single" w:sz="4" w:space="0" w:color="auto"/>
            </w:tcBorders>
            <w:noWrap/>
            <w:vAlign w:val="bottom"/>
            <w:hideMark/>
          </w:tcPr>
          <w:p w14:paraId="008687BF"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PLFX-30x10</w:t>
            </w:r>
          </w:p>
        </w:tc>
        <w:tc>
          <w:tcPr>
            <w:tcW w:w="2439" w:type="dxa"/>
            <w:tcBorders>
              <w:top w:val="nil"/>
              <w:left w:val="nil"/>
              <w:bottom w:val="single" w:sz="4" w:space="0" w:color="auto"/>
              <w:right w:val="single" w:sz="4" w:space="0" w:color="auto"/>
            </w:tcBorders>
            <w:noWrap/>
            <w:vAlign w:val="bottom"/>
            <w:hideMark/>
          </w:tcPr>
          <w:p w14:paraId="44126D73"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HIGH PRESSURE FILTER</w:t>
            </w:r>
          </w:p>
        </w:tc>
        <w:tc>
          <w:tcPr>
            <w:tcW w:w="576" w:type="dxa"/>
            <w:tcBorders>
              <w:top w:val="single" w:sz="4" w:space="0" w:color="auto"/>
              <w:left w:val="nil"/>
              <w:bottom w:val="single" w:sz="4" w:space="0" w:color="auto"/>
              <w:right w:val="single" w:sz="4" w:space="0" w:color="000000"/>
            </w:tcBorders>
            <w:noWrap/>
            <w:vAlign w:val="bottom"/>
            <w:hideMark/>
          </w:tcPr>
          <w:p w14:paraId="11FD9E10"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2</w:t>
            </w:r>
          </w:p>
        </w:tc>
        <w:tc>
          <w:tcPr>
            <w:tcW w:w="886" w:type="dxa"/>
            <w:tcBorders>
              <w:top w:val="nil"/>
              <w:left w:val="nil"/>
              <w:bottom w:val="single" w:sz="4" w:space="0" w:color="auto"/>
              <w:right w:val="single" w:sz="4" w:space="0" w:color="auto"/>
            </w:tcBorders>
            <w:noWrap/>
            <w:vAlign w:val="bottom"/>
          </w:tcPr>
          <w:p w14:paraId="49A57D1D" w14:textId="0B1091E6"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414C21F8"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1433722B"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19</w:t>
            </w:r>
          </w:p>
        </w:tc>
        <w:tc>
          <w:tcPr>
            <w:tcW w:w="2448" w:type="dxa"/>
            <w:tcBorders>
              <w:top w:val="nil"/>
              <w:left w:val="nil"/>
              <w:bottom w:val="single" w:sz="4" w:space="0" w:color="auto"/>
              <w:right w:val="single" w:sz="4" w:space="0" w:color="auto"/>
            </w:tcBorders>
            <w:noWrap/>
            <w:vAlign w:val="bottom"/>
            <w:hideMark/>
          </w:tcPr>
          <w:p w14:paraId="14AF9A6A"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FAX-250×10</w:t>
            </w:r>
          </w:p>
        </w:tc>
        <w:tc>
          <w:tcPr>
            <w:tcW w:w="2439" w:type="dxa"/>
            <w:tcBorders>
              <w:top w:val="nil"/>
              <w:left w:val="nil"/>
              <w:bottom w:val="single" w:sz="4" w:space="0" w:color="auto"/>
              <w:right w:val="single" w:sz="4" w:space="0" w:color="auto"/>
            </w:tcBorders>
            <w:noWrap/>
            <w:vAlign w:val="bottom"/>
            <w:hideMark/>
          </w:tcPr>
          <w:p w14:paraId="2FC3903A"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Oil-return filter element</w:t>
            </w:r>
          </w:p>
        </w:tc>
        <w:tc>
          <w:tcPr>
            <w:tcW w:w="576" w:type="dxa"/>
            <w:tcBorders>
              <w:top w:val="single" w:sz="4" w:space="0" w:color="auto"/>
              <w:left w:val="nil"/>
              <w:bottom w:val="single" w:sz="4" w:space="0" w:color="auto"/>
              <w:right w:val="single" w:sz="4" w:space="0" w:color="000000"/>
            </w:tcBorders>
            <w:noWrap/>
            <w:vAlign w:val="bottom"/>
            <w:hideMark/>
          </w:tcPr>
          <w:p w14:paraId="7C80D1FD"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2</w:t>
            </w:r>
          </w:p>
        </w:tc>
        <w:tc>
          <w:tcPr>
            <w:tcW w:w="886" w:type="dxa"/>
            <w:tcBorders>
              <w:top w:val="nil"/>
              <w:left w:val="nil"/>
              <w:bottom w:val="single" w:sz="4" w:space="0" w:color="auto"/>
              <w:right w:val="single" w:sz="4" w:space="0" w:color="auto"/>
            </w:tcBorders>
            <w:noWrap/>
            <w:vAlign w:val="bottom"/>
          </w:tcPr>
          <w:p w14:paraId="7504DDB4" w14:textId="15B9D350"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712E7264" w14:textId="77777777" w:rsidTr="0082124D">
        <w:trPr>
          <w:trHeight w:val="272"/>
        </w:trPr>
        <w:tc>
          <w:tcPr>
            <w:tcW w:w="530" w:type="dxa"/>
            <w:tcBorders>
              <w:top w:val="nil"/>
              <w:left w:val="single" w:sz="4" w:space="0" w:color="auto"/>
              <w:bottom w:val="single" w:sz="4" w:space="0" w:color="auto"/>
              <w:right w:val="single" w:sz="4" w:space="0" w:color="auto"/>
            </w:tcBorders>
            <w:noWrap/>
            <w:vAlign w:val="bottom"/>
            <w:hideMark/>
          </w:tcPr>
          <w:p w14:paraId="20BFF2C6" w14:textId="77777777"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20</w:t>
            </w:r>
          </w:p>
        </w:tc>
        <w:tc>
          <w:tcPr>
            <w:tcW w:w="2448" w:type="dxa"/>
            <w:tcBorders>
              <w:top w:val="nil"/>
              <w:left w:val="nil"/>
              <w:bottom w:val="single" w:sz="4" w:space="0" w:color="auto"/>
              <w:right w:val="single" w:sz="4" w:space="0" w:color="auto"/>
            </w:tcBorders>
            <w:noWrap/>
            <w:vAlign w:val="bottom"/>
            <w:hideMark/>
          </w:tcPr>
          <w:p w14:paraId="7ED15AEF"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WUI-250×80F-J</w:t>
            </w:r>
          </w:p>
        </w:tc>
        <w:tc>
          <w:tcPr>
            <w:tcW w:w="2439" w:type="dxa"/>
            <w:tcBorders>
              <w:top w:val="nil"/>
              <w:left w:val="nil"/>
              <w:bottom w:val="single" w:sz="4" w:space="0" w:color="auto"/>
              <w:right w:val="single" w:sz="4" w:space="0" w:color="auto"/>
            </w:tcBorders>
            <w:noWrap/>
            <w:vAlign w:val="bottom"/>
            <w:hideMark/>
          </w:tcPr>
          <w:p w14:paraId="409A8E31"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Suction filter</w:t>
            </w:r>
          </w:p>
        </w:tc>
        <w:tc>
          <w:tcPr>
            <w:tcW w:w="576" w:type="dxa"/>
            <w:tcBorders>
              <w:top w:val="single" w:sz="4" w:space="0" w:color="auto"/>
              <w:left w:val="nil"/>
              <w:bottom w:val="single" w:sz="4" w:space="0" w:color="auto"/>
              <w:right w:val="single" w:sz="4" w:space="0" w:color="000000"/>
            </w:tcBorders>
            <w:noWrap/>
            <w:vAlign w:val="bottom"/>
            <w:hideMark/>
          </w:tcPr>
          <w:p w14:paraId="044DC1F3" w14:textId="77777777" w:rsidR="003063F6" w:rsidRPr="00203C33" w:rsidRDefault="003063F6" w:rsidP="00203C33">
            <w:pPr>
              <w:spacing w:after="0" w:line="240" w:lineRule="auto"/>
              <w:jc w:val="center"/>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2</w:t>
            </w:r>
          </w:p>
        </w:tc>
        <w:tc>
          <w:tcPr>
            <w:tcW w:w="886" w:type="dxa"/>
            <w:tcBorders>
              <w:top w:val="nil"/>
              <w:left w:val="nil"/>
              <w:bottom w:val="single" w:sz="4" w:space="0" w:color="auto"/>
              <w:right w:val="single" w:sz="4" w:space="0" w:color="auto"/>
            </w:tcBorders>
            <w:noWrap/>
            <w:vAlign w:val="bottom"/>
          </w:tcPr>
          <w:p w14:paraId="36163A14" w14:textId="14EC64BB" w:rsidR="003063F6" w:rsidRPr="00203C33" w:rsidRDefault="003063F6" w:rsidP="00203C33">
            <w:pPr>
              <w:spacing w:after="0" w:line="240" w:lineRule="auto"/>
              <w:jc w:val="right"/>
              <w:rPr>
                <w:rFonts w:ascii="Calibri" w:eastAsia="Times New Roman" w:hAnsi="Calibri" w:cs="Calibri"/>
                <w:color w:val="000000"/>
                <w:kern w:val="0"/>
                <w:szCs w:val="22"/>
                <w:lang w:eastAsia="en-IN" w:bidi="ar-SA"/>
                <w14:ligatures w14:val="none"/>
              </w:rPr>
            </w:pPr>
          </w:p>
        </w:tc>
      </w:tr>
      <w:tr w:rsidR="003063F6" w:rsidRPr="00203C33" w14:paraId="19653619" w14:textId="77777777" w:rsidTr="003063F6">
        <w:trPr>
          <w:gridAfter w:val="2"/>
          <w:wAfter w:w="1462" w:type="dxa"/>
          <w:trHeight w:val="272"/>
        </w:trPr>
        <w:tc>
          <w:tcPr>
            <w:tcW w:w="530" w:type="dxa"/>
            <w:tcBorders>
              <w:top w:val="nil"/>
              <w:left w:val="single" w:sz="4" w:space="0" w:color="auto"/>
              <w:bottom w:val="single" w:sz="4" w:space="0" w:color="auto"/>
              <w:right w:val="single" w:sz="4" w:space="0" w:color="auto"/>
            </w:tcBorders>
            <w:noWrap/>
            <w:vAlign w:val="bottom"/>
            <w:hideMark/>
          </w:tcPr>
          <w:p w14:paraId="1DE7578C"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 </w:t>
            </w:r>
          </w:p>
        </w:tc>
        <w:tc>
          <w:tcPr>
            <w:tcW w:w="2448" w:type="dxa"/>
            <w:tcBorders>
              <w:top w:val="nil"/>
              <w:left w:val="nil"/>
              <w:bottom w:val="single" w:sz="4" w:space="0" w:color="auto"/>
              <w:right w:val="single" w:sz="4" w:space="0" w:color="auto"/>
            </w:tcBorders>
            <w:noWrap/>
            <w:vAlign w:val="bottom"/>
            <w:hideMark/>
          </w:tcPr>
          <w:p w14:paraId="4F165B05"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 </w:t>
            </w:r>
          </w:p>
        </w:tc>
        <w:tc>
          <w:tcPr>
            <w:tcW w:w="2439" w:type="dxa"/>
            <w:tcBorders>
              <w:top w:val="nil"/>
              <w:left w:val="nil"/>
              <w:bottom w:val="single" w:sz="4" w:space="0" w:color="auto"/>
              <w:right w:val="single" w:sz="4" w:space="0" w:color="auto"/>
            </w:tcBorders>
            <w:noWrap/>
            <w:vAlign w:val="bottom"/>
            <w:hideMark/>
          </w:tcPr>
          <w:p w14:paraId="27AE9B65" w14:textId="77777777" w:rsidR="003063F6" w:rsidRPr="00203C33" w:rsidRDefault="003063F6" w:rsidP="00203C33">
            <w:pPr>
              <w:spacing w:after="0" w:line="240" w:lineRule="auto"/>
              <w:rPr>
                <w:rFonts w:ascii="Calibri" w:eastAsia="Times New Roman" w:hAnsi="Calibri" w:cs="Calibri"/>
                <w:color w:val="000000"/>
                <w:kern w:val="0"/>
                <w:szCs w:val="22"/>
                <w:lang w:eastAsia="en-IN" w:bidi="ar-SA"/>
                <w14:ligatures w14:val="none"/>
              </w:rPr>
            </w:pPr>
            <w:r w:rsidRPr="00203C33">
              <w:rPr>
                <w:rFonts w:ascii="Calibri" w:eastAsia="Times New Roman" w:hAnsi="Calibri" w:cs="Calibri"/>
                <w:color w:val="000000"/>
                <w:kern w:val="0"/>
                <w:szCs w:val="22"/>
                <w:lang w:eastAsia="en-IN" w:bidi="ar-SA"/>
                <w14:ligatures w14:val="none"/>
              </w:rPr>
              <w:t> </w:t>
            </w:r>
          </w:p>
        </w:tc>
      </w:tr>
    </w:tbl>
    <w:p w14:paraId="7378EE08" w14:textId="77777777" w:rsidR="006C43C8" w:rsidRDefault="006C43C8" w:rsidP="001F15E3">
      <w:pPr>
        <w:autoSpaceDE w:val="0"/>
        <w:autoSpaceDN w:val="0"/>
        <w:adjustRightInd w:val="0"/>
        <w:spacing w:after="0" w:line="240" w:lineRule="auto"/>
        <w:rPr>
          <w:rFonts w:cs="Calibri"/>
          <w:b/>
          <w:bCs/>
        </w:rPr>
      </w:pPr>
    </w:p>
    <w:sectPr w:rsidR="006C43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ADED99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B12430"/>
    <w:multiLevelType w:val="hybridMultilevel"/>
    <w:tmpl w:val="216238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E34581"/>
    <w:multiLevelType w:val="multilevel"/>
    <w:tmpl w:val="3264AE46"/>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8957BD5"/>
    <w:multiLevelType w:val="hybridMultilevel"/>
    <w:tmpl w:val="6F42CE3E"/>
    <w:lvl w:ilvl="0" w:tplc="28247A1E">
      <w:start w:val="1"/>
      <w:numFmt w:val="lowerLetter"/>
      <w:lvlText w:val="%1."/>
      <w:lvlJc w:val="left"/>
      <w:pPr>
        <w:ind w:left="504" w:hanging="360"/>
      </w:pPr>
      <w:rPr>
        <w:rFonts w:ascii="Arial" w:hAnsi="Arial" w:cs="Arial"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4" w15:restartNumberingAfterBreak="0">
    <w:nsid w:val="507C5FCE"/>
    <w:multiLevelType w:val="hybridMultilevel"/>
    <w:tmpl w:val="50D427E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432383B"/>
    <w:multiLevelType w:val="hybridMultilevel"/>
    <w:tmpl w:val="BC7A1F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53C2A24"/>
    <w:multiLevelType w:val="hybridMultilevel"/>
    <w:tmpl w:val="0B12F04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4A97B69"/>
    <w:multiLevelType w:val="hybridMultilevel"/>
    <w:tmpl w:val="2C24E10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673F2F14"/>
    <w:multiLevelType w:val="hybridMultilevel"/>
    <w:tmpl w:val="DE54BC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19A73AD"/>
    <w:multiLevelType w:val="hybridMultilevel"/>
    <w:tmpl w:val="2E72298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25F04B3"/>
    <w:multiLevelType w:val="hybridMultilevel"/>
    <w:tmpl w:val="7D9A00E8"/>
    <w:lvl w:ilvl="0" w:tplc="71DEB4F4">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914005972">
    <w:abstractNumId w:val="10"/>
  </w:num>
  <w:num w:numId="2" w16cid:durableId="1359352009">
    <w:abstractNumId w:val="3"/>
  </w:num>
  <w:num w:numId="3" w16cid:durableId="940528417">
    <w:abstractNumId w:val="8"/>
  </w:num>
  <w:num w:numId="4" w16cid:durableId="1312519636">
    <w:abstractNumId w:val="7"/>
  </w:num>
  <w:num w:numId="5" w16cid:durableId="388843864">
    <w:abstractNumId w:val="0"/>
  </w:num>
  <w:num w:numId="6" w16cid:durableId="584727148">
    <w:abstractNumId w:val="6"/>
  </w:num>
  <w:num w:numId="7" w16cid:durableId="1262765012">
    <w:abstractNumId w:val="4"/>
  </w:num>
  <w:num w:numId="8" w16cid:durableId="350181304">
    <w:abstractNumId w:val="9"/>
  </w:num>
  <w:num w:numId="9" w16cid:durableId="606159071">
    <w:abstractNumId w:val="2"/>
  </w:num>
  <w:num w:numId="10" w16cid:durableId="511378890">
    <w:abstractNumId w:val="5"/>
  </w:num>
  <w:num w:numId="11" w16cid:durableId="37239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769"/>
    <w:rsid w:val="000019B5"/>
    <w:rsid w:val="00020389"/>
    <w:rsid w:val="00020FF7"/>
    <w:rsid w:val="00024810"/>
    <w:rsid w:val="000B58CC"/>
    <w:rsid w:val="000B7A79"/>
    <w:rsid w:val="000C461D"/>
    <w:rsid w:val="000E0F01"/>
    <w:rsid w:val="00152EB2"/>
    <w:rsid w:val="00182ABA"/>
    <w:rsid w:val="001A12A4"/>
    <w:rsid w:val="001A1B06"/>
    <w:rsid w:val="001C0008"/>
    <w:rsid w:val="001C3DAC"/>
    <w:rsid w:val="001F15E3"/>
    <w:rsid w:val="00203C33"/>
    <w:rsid w:val="0022609D"/>
    <w:rsid w:val="00265D9F"/>
    <w:rsid w:val="002A068D"/>
    <w:rsid w:val="002C4509"/>
    <w:rsid w:val="002F1B61"/>
    <w:rsid w:val="00303D4F"/>
    <w:rsid w:val="003063F6"/>
    <w:rsid w:val="00310698"/>
    <w:rsid w:val="00371C2E"/>
    <w:rsid w:val="003A655C"/>
    <w:rsid w:val="003E4466"/>
    <w:rsid w:val="003F6E75"/>
    <w:rsid w:val="0042000B"/>
    <w:rsid w:val="0046118A"/>
    <w:rsid w:val="004726DA"/>
    <w:rsid w:val="004C6CC4"/>
    <w:rsid w:val="004D2283"/>
    <w:rsid w:val="0052094F"/>
    <w:rsid w:val="00524432"/>
    <w:rsid w:val="005A672C"/>
    <w:rsid w:val="005C1760"/>
    <w:rsid w:val="005C588C"/>
    <w:rsid w:val="005D021A"/>
    <w:rsid w:val="005D741D"/>
    <w:rsid w:val="0064008B"/>
    <w:rsid w:val="00665370"/>
    <w:rsid w:val="0067184D"/>
    <w:rsid w:val="006A531D"/>
    <w:rsid w:val="006B3E9D"/>
    <w:rsid w:val="006C43C8"/>
    <w:rsid w:val="006D189E"/>
    <w:rsid w:val="006D2C1D"/>
    <w:rsid w:val="006D6D84"/>
    <w:rsid w:val="00725A9C"/>
    <w:rsid w:val="00780CFF"/>
    <w:rsid w:val="007851E2"/>
    <w:rsid w:val="007C05E5"/>
    <w:rsid w:val="007C4F00"/>
    <w:rsid w:val="007E384F"/>
    <w:rsid w:val="008058D5"/>
    <w:rsid w:val="0082124D"/>
    <w:rsid w:val="00862769"/>
    <w:rsid w:val="00871A1D"/>
    <w:rsid w:val="008B4B64"/>
    <w:rsid w:val="008C5A22"/>
    <w:rsid w:val="0092011E"/>
    <w:rsid w:val="00927CB4"/>
    <w:rsid w:val="009456BF"/>
    <w:rsid w:val="009705E2"/>
    <w:rsid w:val="009960ED"/>
    <w:rsid w:val="00997B2E"/>
    <w:rsid w:val="00A4186E"/>
    <w:rsid w:val="00AD6E0D"/>
    <w:rsid w:val="00AE3BBE"/>
    <w:rsid w:val="00AF45FE"/>
    <w:rsid w:val="00B25065"/>
    <w:rsid w:val="00B370E9"/>
    <w:rsid w:val="00B45739"/>
    <w:rsid w:val="00B56C37"/>
    <w:rsid w:val="00B622A7"/>
    <w:rsid w:val="00B84537"/>
    <w:rsid w:val="00B95EA7"/>
    <w:rsid w:val="00C22FC7"/>
    <w:rsid w:val="00CB7F18"/>
    <w:rsid w:val="00D11D36"/>
    <w:rsid w:val="00D26F6E"/>
    <w:rsid w:val="00D4731D"/>
    <w:rsid w:val="00D54CE8"/>
    <w:rsid w:val="00DC5000"/>
    <w:rsid w:val="00DE0C95"/>
    <w:rsid w:val="00DF00AA"/>
    <w:rsid w:val="00E1123A"/>
    <w:rsid w:val="00E233CD"/>
    <w:rsid w:val="00E37365"/>
    <w:rsid w:val="00E500C5"/>
    <w:rsid w:val="00E75D91"/>
    <w:rsid w:val="00F10995"/>
    <w:rsid w:val="00F11A02"/>
    <w:rsid w:val="00F62991"/>
    <w:rsid w:val="00F703D8"/>
    <w:rsid w:val="00F7285C"/>
    <w:rsid w:val="00F80131"/>
    <w:rsid w:val="00FA6D67"/>
    <w:rsid w:val="00FE0006"/>
    <w:rsid w:val="00FE6C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FB8CA"/>
  <w15:chartTrackingRefBased/>
  <w15:docId w15:val="{C62D5C12-08D1-4948-93D4-A444D088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C1D"/>
    <w:pPr>
      <w:spacing w:line="259" w:lineRule="auto"/>
    </w:pPr>
    <w:rPr>
      <w:rFonts w:cs="Mangal"/>
      <w:sz w:val="22"/>
      <w:szCs w:val="20"/>
      <w:lang w:bidi="hi-IN"/>
    </w:rPr>
  </w:style>
  <w:style w:type="paragraph" w:styleId="Heading1">
    <w:name w:val="heading 1"/>
    <w:basedOn w:val="Normal"/>
    <w:next w:val="Normal"/>
    <w:link w:val="Heading1Char"/>
    <w:uiPriority w:val="9"/>
    <w:qFormat/>
    <w:rsid w:val="008627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627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7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7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7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7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7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7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7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7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627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7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7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7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7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7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7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769"/>
    <w:rPr>
      <w:rFonts w:eastAsiaTheme="majorEastAsia" w:cstheme="majorBidi"/>
      <w:color w:val="272727" w:themeColor="text1" w:themeTint="D8"/>
    </w:rPr>
  </w:style>
  <w:style w:type="paragraph" w:styleId="Title">
    <w:name w:val="Title"/>
    <w:basedOn w:val="Normal"/>
    <w:next w:val="Normal"/>
    <w:link w:val="TitleChar"/>
    <w:uiPriority w:val="10"/>
    <w:qFormat/>
    <w:rsid w:val="008627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7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7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7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769"/>
    <w:pPr>
      <w:spacing w:before="160"/>
      <w:jc w:val="center"/>
    </w:pPr>
    <w:rPr>
      <w:i/>
      <w:iCs/>
      <w:color w:val="404040" w:themeColor="text1" w:themeTint="BF"/>
    </w:rPr>
  </w:style>
  <w:style w:type="character" w:customStyle="1" w:styleId="QuoteChar">
    <w:name w:val="Quote Char"/>
    <w:basedOn w:val="DefaultParagraphFont"/>
    <w:link w:val="Quote"/>
    <w:uiPriority w:val="29"/>
    <w:rsid w:val="00862769"/>
    <w:rPr>
      <w:i/>
      <w:iCs/>
      <w:color w:val="404040" w:themeColor="text1" w:themeTint="BF"/>
    </w:rPr>
  </w:style>
  <w:style w:type="paragraph" w:styleId="ListParagraph">
    <w:name w:val="List Paragraph"/>
    <w:basedOn w:val="Normal"/>
    <w:uiPriority w:val="34"/>
    <w:qFormat/>
    <w:rsid w:val="00862769"/>
    <w:pPr>
      <w:ind w:left="720"/>
      <w:contextualSpacing/>
    </w:pPr>
  </w:style>
  <w:style w:type="character" w:styleId="IntenseEmphasis">
    <w:name w:val="Intense Emphasis"/>
    <w:basedOn w:val="DefaultParagraphFont"/>
    <w:uiPriority w:val="21"/>
    <w:qFormat/>
    <w:rsid w:val="00862769"/>
    <w:rPr>
      <w:i/>
      <w:iCs/>
      <w:color w:val="0F4761" w:themeColor="accent1" w:themeShade="BF"/>
    </w:rPr>
  </w:style>
  <w:style w:type="paragraph" w:styleId="IntenseQuote">
    <w:name w:val="Intense Quote"/>
    <w:basedOn w:val="Normal"/>
    <w:next w:val="Normal"/>
    <w:link w:val="IntenseQuoteChar"/>
    <w:uiPriority w:val="30"/>
    <w:qFormat/>
    <w:rsid w:val="008627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769"/>
    <w:rPr>
      <w:i/>
      <w:iCs/>
      <w:color w:val="0F4761" w:themeColor="accent1" w:themeShade="BF"/>
    </w:rPr>
  </w:style>
  <w:style w:type="character" w:styleId="IntenseReference">
    <w:name w:val="Intense Reference"/>
    <w:basedOn w:val="DefaultParagraphFont"/>
    <w:uiPriority w:val="32"/>
    <w:qFormat/>
    <w:rsid w:val="00862769"/>
    <w:rPr>
      <w:b/>
      <w:bCs/>
      <w:smallCaps/>
      <w:color w:val="0F4761" w:themeColor="accent1" w:themeShade="BF"/>
      <w:spacing w:val="5"/>
    </w:rPr>
  </w:style>
  <w:style w:type="paragraph" w:customStyle="1" w:styleId="Default">
    <w:name w:val="Default"/>
    <w:rsid w:val="006D2C1D"/>
    <w:pPr>
      <w:autoSpaceDE w:val="0"/>
      <w:autoSpaceDN w:val="0"/>
      <w:adjustRightInd w:val="0"/>
      <w:spacing w:after="0" w:line="240" w:lineRule="auto"/>
    </w:pPr>
    <w:rPr>
      <w:rFonts w:ascii="Arial" w:hAnsi="Arial" w:cs="Arial"/>
      <w:color w:val="000000"/>
      <w:kern w:val="0"/>
      <w:lang w:bidi="hi-IN"/>
    </w:rPr>
  </w:style>
  <w:style w:type="paragraph" w:customStyle="1" w:styleId="Normal1">
    <w:name w:val="Normal1"/>
    <w:basedOn w:val="Normal"/>
    <w:rsid w:val="001F15E3"/>
    <w:pPr>
      <w:spacing w:before="100" w:beforeAutospacing="1" w:after="100" w:afterAutospacing="1" w:line="240" w:lineRule="auto"/>
    </w:pPr>
    <w:rPr>
      <w:rFonts w:ascii="Times New Roman" w:eastAsia="Times New Roman" w:hAnsi="Times New Roman" w:cs="Times New Roman"/>
      <w:kern w:val="0"/>
      <w:sz w:val="24"/>
      <w:szCs w:val="24"/>
      <w:lang w:eastAsia="en-IN" w:bidi="ar-SA"/>
      <w14:ligatures w14:val="none"/>
    </w:rPr>
  </w:style>
  <w:style w:type="table" w:styleId="TableGrid">
    <w:name w:val="Table Grid"/>
    <w:basedOn w:val="TableNormal"/>
    <w:uiPriority w:val="39"/>
    <w:rsid w:val="00020389"/>
    <w:pPr>
      <w:spacing w:after="0" w:line="240" w:lineRule="auto"/>
    </w:pPr>
    <w:rPr>
      <w:sz w:val="22"/>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25A9C"/>
    <w:pPr>
      <w:numPr>
        <w:numId w:val="5"/>
      </w:numPr>
      <w:tabs>
        <w:tab w:val="clear" w:pos="360"/>
      </w:tabs>
      <w:spacing w:after="200" w:line="276" w:lineRule="auto"/>
      <w:ind w:left="0" w:firstLine="0"/>
      <w:contextualSpacing/>
    </w:pPr>
    <w:rPr>
      <w:rFonts w:eastAsiaTheme="minorEastAsia" w:cstheme="minorBidi"/>
      <w:kern w:val="0"/>
      <w:szCs w:val="22"/>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116</TotalTime>
  <Pages>5</Pages>
  <Words>1151</Words>
  <Characters>6566</Characters>
  <Application>Microsoft Office Word</Application>
  <DocSecurity>0</DocSecurity>
  <Lines>54</Lines>
  <Paragraphs>15</Paragraphs>
  <ScaleCrop>false</ScaleCrop>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VINUTHA</dc:creator>
  <cp:keywords/>
  <dc:description/>
  <cp:lastModifiedBy>C VINUTHA</cp:lastModifiedBy>
  <cp:revision>95</cp:revision>
  <dcterms:created xsi:type="dcterms:W3CDTF">2025-09-06T05:12:00Z</dcterms:created>
  <dcterms:modified xsi:type="dcterms:W3CDTF">2026-04-19T04:51:00Z</dcterms:modified>
</cp:coreProperties>
</file>